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F3" w:rsidRPr="007F3DF3" w:rsidRDefault="007F3DF3" w:rsidP="007F3DF3">
      <w:pPr>
        <w:pStyle w:val="GvdeMetni"/>
        <w:jc w:val="center"/>
        <w:rPr>
          <w:rStyle w:val="GvdeMetniChar"/>
          <w:rFonts w:eastAsia="Calibri"/>
          <w:b/>
          <w:u w:val="single"/>
        </w:rPr>
      </w:pPr>
      <w:r w:rsidRPr="007F3DF3">
        <w:rPr>
          <w:rStyle w:val="GvdeMetniChar"/>
          <w:rFonts w:eastAsia="Calibri"/>
          <w:b/>
          <w:u w:val="single"/>
        </w:rPr>
        <w:t>Ek</w:t>
      </w:r>
      <w:r w:rsidRPr="007F3DF3">
        <w:rPr>
          <w:rStyle w:val="GvdeMetniChar"/>
          <w:rFonts w:eastAsia="Calibri"/>
          <w:b/>
          <w:u w:val="single"/>
        </w:rPr>
        <w:t xml:space="preserve"> (5 sayfa)</w:t>
      </w:r>
    </w:p>
    <w:p w:rsidR="007F3DF3" w:rsidRPr="007F3DF3" w:rsidRDefault="007F3DF3" w:rsidP="007F3DF3">
      <w:pPr>
        <w:pStyle w:val="GvdeMetni"/>
        <w:jc w:val="center"/>
        <w:rPr>
          <w:rStyle w:val="GvdeMetniChar"/>
          <w:rFonts w:eastAsia="Calibri"/>
          <w:b/>
        </w:rPr>
      </w:pPr>
    </w:p>
    <w:p w:rsidR="007F3DF3" w:rsidRPr="00E34278" w:rsidRDefault="007F3DF3" w:rsidP="007F3DF3">
      <w:pPr>
        <w:pStyle w:val="GvdeMetni"/>
        <w:jc w:val="center"/>
        <w:rPr>
          <w:b/>
        </w:rPr>
      </w:pPr>
      <w:r w:rsidRPr="00E34278">
        <w:rPr>
          <w:rStyle w:val="GvdeMetniChar"/>
          <w:b/>
        </w:rPr>
        <w:t>ISPARTA-YALVAÇ ORGANİZE SANAYİ BÖLGESİ</w:t>
      </w:r>
    </w:p>
    <w:p w:rsidR="007F3DF3" w:rsidRDefault="007F3DF3" w:rsidP="007F3DF3">
      <w:pPr>
        <w:pStyle w:val="GvdeMetni"/>
        <w:jc w:val="center"/>
        <w:rPr>
          <w:rStyle w:val="GvdeMetniChar"/>
          <w:b/>
        </w:rPr>
      </w:pPr>
      <w:r w:rsidRPr="00E34278">
        <w:rPr>
          <w:rStyle w:val="GvdeMetniChar"/>
          <w:b/>
        </w:rPr>
        <w:t>7 ADET SANAYİ PARSELİNİN AÇIK ARTIRMAYLA TAHSİS İHALESİ ŞARTNAMESİ</w:t>
      </w:r>
    </w:p>
    <w:p w:rsidR="007F3DF3" w:rsidRPr="00E34278" w:rsidRDefault="007F3DF3" w:rsidP="007F3DF3">
      <w:pPr>
        <w:pStyle w:val="GvdeMetni"/>
        <w:jc w:val="center"/>
        <w:rPr>
          <w:b/>
        </w:rPr>
      </w:pPr>
    </w:p>
    <w:p w:rsidR="007F3DF3" w:rsidRDefault="007F3DF3" w:rsidP="007F3DF3">
      <w:pPr>
        <w:pStyle w:val="Tablecaption0"/>
        <w:numPr>
          <w:ilvl w:val="0"/>
          <w:numId w:val="8"/>
        </w:numPr>
        <w:rPr>
          <w:rStyle w:val="Tablecaption"/>
        </w:rPr>
      </w:pPr>
      <w:r>
        <w:rPr>
          <w:rStyle w:val="Tablecaption"/>
        </w:rPr>
        <w:t xml:space="preserve">Mülkiyeti </w:t>
      </w:r>
      <w:r>
        <w:rPr>
          <w:rStyle w:val="GvdeMetniChar"/>
        </w:rPr>
        <w:t>Isparta-Yalvaç</w:t>
      </w:r>
      <w:r>
        <w:rPr>
          <w:rStyle w:val="Tablecaption"/>
        </w:rPr>
        <w:t xml:space="preserve"> Organize Sanayi Bölgesine ait olan Isparta İli, Yalvaç İlçesi, Abacılar Mahallesinde kayıtlı;</w:t>
      </w:r>
    </w:p>
    <w:p w:rsidR="007F3DF3" w:rsidRDefault="007F3DF3" w:rsidP="007F3DF3">
      <w:pPr>
        <w:pStyle w:val="Tablecaption0"/>
        <w:ind w:left="720" w:firstLine="0"/>
        <w:rPr>
          <w:rStyle w:val="Tablecaption"/>
        </w:rPr>
      </w:pPr>
    </w:p>
    <w:tbl>
      <w:tblPr>
        <w:tblStyle w:val="TabloKlavuzu"/>
        <w:tblW w:w="0" w:type="auto"/>
        <w:tblInd w:w="913" w:type="dxa"/>
        <w:tblLook w:val="04A0" w:firstRow="1" w:lastRow="0" w:firstColumn="1" w:lastColumn="0" w:noHBand="0" w:noVBand="1"/>
      </w:tblPr>
      <w:tblGrid>
        <w:gridCol w:w="496"/>
        <w:gridCol w:w="2126"/>
        <w:gridCol w:w="2410"/>
        <w:gridCol w:w="2693"/>
      </w:tblGrid>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p>
        </w:tc>
        <w:tc>
          <w:tcPr>
            <w:tcW w:w="2126" w:type="dxa"/>
          </w:tcPr>
          <w:p w:rsidR="007F3DF3" w:rsidRPr="00F36663" w:rsidRDefault="007F3DF3" w:rsidP="00E04220">
            <w:pPr>
              <w:autoSpaceDE w:val="0"/>
              <w:autoSpaceDN w:val="0"/>
              <w:adjustRightInd w:val="0"/>
              <w:rPr>
                <w:rFonts w:ascii="Times New Roman" w:eastAsiaTheme="minorHAnsi" w:hAnsi="Times New Roman" w:cs="Times New Roman"/>
                <w:b/>
                <w:bCs/>
              </w:rPr>
            </w:pPr>
            <w:r w:rsidRPr="00F36663">
              <w:rPr>
                <w:rFonts w:ascii="Times New Roman" w:eastAsiaTheme="minorHAnsi" w:hAnsi="Times New Roman" w:cs="Times New Roman"/>
                <w:b/>
                <w:bCs/>
              </w:rPr>
              <w:t>ADA/PARSEL NO</w:t>
            </w:r>
          </w:p>
        </w:tc>
        <w:tc>
          <w:tcPr>
            <w:tcW w:w="2410" w:type="dxa"/>
          </w:tcPr>
          <w:p w:rsidR="007F3DF3" w:rsidRPr="00F36663" w:rsidRDefault="007F3DF3" w:rsidP="00E04220">
            <w:pPr>
              <w:autoSpaceDE w:val="0"/>
              <w:autoSpaceDN w:val="0"/>
              <w:adjustRightInd w:val="0"/>
              <w:rPr>
                <w:rFonts w:ascii="Times New Roman" w:eastAsiaTheme="minorHAnsi" w:hAnsi="Times New Roman" w:cs="Times New Roman"/>
                <w:b/>
                <w:bCs/>
              </w:rPr>
            </w:pPr>
            <w:r w:rsidRPr="00F36663">
              <w:rPr>
                <w:rFonts w:ascii="Times New Roman" w:eastAsiaTheme="minorHAnsi" w:hAnsi="Times New Roman" w:cs="Times New Roman"/>
                <w:b/>
                <w:bCs/>
              </w:rPr>
              <w:t>PARSEL ALANI (</w:t>
            </w:r>
            <w:r>
              <w:rPr>
                <w:rFonts w:ascii="Times New Roman" w:eastAsiaTheme="minorHAnsi" w:hAnsi="Times New Roman" w:cs="Times New Roman"/>
                <w:b/>
                <w:bCs/>
              </w:rPr>
              <w:t xml:space="preserve"> m</w:t>
            </w:r>
            <w:r>
              <w:rPr>
                <w:rFonts w:ascii="Times New Roman" w:eastAsiaTheme="minorHAnsi" w:hAnsi="Times New Roman" w:cs="Times New Roman"/>
                <w:b/>
                <w:bCs/>
                <w:vertAlign w:val="superscript"/>
              </w:rPr>
              <w:t xml:space="preserve">2 </w:t>
            </w:r>
            <w:r w:rsidRPr="00F36663">
              <w:rPr>
                <w:rFonts w:ascii="Times New Roman" w:eastAsiaTheme="minorHAnsi" w:hAnsi="Times New Roman" w:cs="Times New Roman"/>
                <w:b/>
                <w:bCs/>
              </w:rPr>
              <w:t>)</w:t>
            </w:r>
          </w:p>
        </w:tc>
        <w:tc>
          <w:tcPr>
            <w:tcW w:w="2693" w:type="dxa"/>
          </w:tcPr>
          <w:p w:rsidR="007F3DF3" w:rsidRPr="00F36663" w:rsidRDefault="007F3DF3" w:rsidP="00E04220">
            <w:pPr>
              <w:autoSpaceDE w:val="0"/>
              <w:autoSpaceDN w:val="0"/>
              <w:adjustRightInd w:val="0"/>
              <w:rPr>
                <w:rFonts w:ascii="Times New Roman" w:eastAsiaTheme="minorHAnsi" w:hAnsi="Times New Roman" w:cs="Times New Roman"/>
                <w:b/>
                <w:bCs/>
              </w:rPr>
            </w:pPr>
            <w:r w:rsidRPr="00F36663">
              <w:rPr>
                <w:rFonts w:ascii="Times New Roman" w:eastAsiaTheme="minorHAnsi" w:hAnsi="Times New Roman" w:cs="Times New Roman"/>
                <w:b/>
                <w:bCs/>
              </w:rPr>
              <w:t>PARSEL m</w:t>
            </w:r>
            <w:r>
              <w:rPr>
                <w:rFonts w:ascii="Times New Roman" w:eastAsiaTheme="minorHAnsi" w:hAnsi="Times New Roman" w:cs="Times New Roman"/>
                <w:b/>
                <w:bCs/>
                <w:vertAlign w:val="superscript"/>
              </w:rPr>
              <w:t>2</w:t>
            </w:r>
            <w:r w:rsidRPr="00F36663">
              <w:rPr>
                <w:rFonts w:ascii="Times New Roman" w:eastAsiaTheme="minorHAnsi" w:hAnsi="Times New Roman" w:cs="Times New Roman"/>
                <w:b/>
                <w:bCs/>
              </w:rPr>
              <w:t xml:space="preserve"> BİRİM FİYATI (TL/</w:t>
            </w:r>
            <w:r>
              <w:rPr>
                <w:rFonts w:ascii="Times New Roman" w:eastAsiaTheme="minorHAnsi" w:hAnsi="Times New Roman" w:cs="Times New Roman"/>
                <w:b/>
                <w:bCs/>
              </w:rPr>
              <w:t>m</w:t>
            </w:r>
            <w:r>
              <w:rPr>
                <w:rFonts w:ascii="Times New Roman" w:eastAsiaTheme="minorHAnsi" w:hAnsi="Times New Roman" w:cs="Times New Roman"/>
                <w:b/>
                <w:bCs/>
                <w:vertAlign w:val="superscript"/>
              </w:rPr>
              <w:t xml:space="preserve">2  </w:t>
            </w:r>
            <w:r w:rsidRPr="00F36663">
              <w:rPr>
                <w:rFonts w:ascii="Times New Roman" w:eastAsiaTheme="minorHAnsi" w:hAnsi="Times New Roman" w:cs="Times New Roman"/>
                <w:b/>
                <w:bCs/>
              </w:rPr>
              <w:t>)</w:t>
            </w:r>
          </w:p>
        </w:tc>
      </w:tr>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r w:rsidRPr="00F36663">
              <w:rPr>
                <w:rFonts w:ascii="Times New Roman" w:eastAsiaTheme="minorHAnsi" w:hAnsi="Times New Roman" w:cs="Times New Roman"/>
              </w:rPr>
              <w:t>1</w:t>
            </w:r>
          </w:p>
        </w:tc>
        <w:tc>
          <w:tcPr>
            <w:tcW w:w="2126"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286</w:t>
            </w:r>
            <w:r>
              <w:rPr>
                <w:rFonts w:ascii="Times New Roman" w:eastAsiaTheme="minorHAnsi" w:hAnsi="Times New Roman" w:cs="Times New Roman"/>
              </w:rPr>
              <w:t xml:space="preserve"> </w:t>
            </w:r>
            <w:r w:rsidRPr="00F36663">
              <w:rPr>
                <w:rFonts w:ascii="Times New Roman" w:eastAsiaTheme="minorHAnsi" w:hAnsi="Times New Roman" w:cs="Times New Roman"/>
              </w:rPr>
              <w:t>/</w:t>
            </w:r>
            <w:r>
              <w:rPr>
                <w:rFonts w:ascii="Times New Roman" w:eastAsiaTheme="minorHAnsi" w:hAnsi="Times New Roman" w:cs="Times New Roman"/>
              </w:rPr>
              <w:t xml:space="preserve"> </w:t>
            </w:r>
            <w:r w:rsidRPr="00F36663">
              <w:rPr>
                <w:rFonts w:ascii="Times New Roman" w:eastAsiaTheme="minorHAnsi" w:hAnsi="Times New Roman" w:cs="Times New Roman"/>
              </w:rPr>
              <w:t>227</w:t>
            </w:r>
          </w:p>
        </w:tc>
        <w:tc>
          <w:tcPr>
            <w:tcW w:w="2410"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DA4234">
              <w:rPr>
                <w:rFonts w:ascii="Times New Roman" w:eastAsiaTheme="minorHAnsi" w:hAnsi="Times New Roman" w:cs="Times New Roman"/>
              </w:rPr>
              <w:t>7.829,13</w:t>
            </w:r>
          </w:p>
        </w:tc>
        <w:tc>
          <w:tcPr>
            <w:tcW w:w="2693"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700,00</w:t>
            </w:r>
          </w:p>
        </w:tc>
      </w:tr>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r w:rsidRPr="00F36663">
              <w:rPr>
                <w:rFonts w:ascii="Times New Roman" w:eastAsiaTheme="minorHAnsi" w:hAnsi="Times New Roman" w:cs="Times New Roman"/>
              </w:rPr>
              <w:t>2</w:t>
            </w:r>
          </w:p>
        </w:tc>
        <w:tc>
          <w:tcPr>
            <w:tcW w:w="2126"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286</w:t>
            </w:r>
            <w:r>
              <w:rPr>
                <w:rFonts w:ascii="Times New Roman" w:eastAsiaTheme="minorHAnsi" w:hAnsi="Times New Roman" w:cs="Times New Roman"/>
              </w:rPr>
              <w:t xml:space="preserve"> </w:t>
            </w:r>
            <w:r w:rsidRPr="00F36663">
              <w:rPr>
                <w:rFonts w:ascii="Times New Roman" w:eastAsiaTheme="minorHAnsi" w:hAnsi="Times New Roman" w:cs="Times New Roman"/>
              </w:rPr>
              <w:t>/</w:t>
            </w:r>
            <w:r>
              <w:rPr>
                <w:rFonts w:ascii="Times New Roman" w:eastAsiaTheme="minorHAnsi" w:hAnsi="Times New Roman" w:cs="Times New Roman"/>
              </w:rPr>
              <w:t xml:space="preserve"> </w:t>
            </w:r>
            <w:r w:rsidRPr="00F36663">
              <w:rPr>
                <w:rFonts w:ascii="Times New Roman" w:eastAsiaTheme="minorHAnsi" w:hAnsi="Times New Roman" w:cs="Times New Roman"/>
              </w:rPr>
              <w:t>228</w:t>
            </w:r>
          </w:p>
        </w:tc>
        <w:tc>
          <w:tcPr>
            <w:tcW w:w="2410"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DA4234">
              <w:rPr>
                <w:rFonts w:ascii="Times New Roman" w:eastAsiaTheme="minorHAnsi" w:hAnsi="Times New Roman" w:cs="Times New Roman"/>
              </w:rPr>
              <w:t>6.282,65</w:t>
            </w:r>
          </w:p>
        </w:tc>
        <w:tc>
          <w:tcPr>
            <w:tcW w:w="2693"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700,00</w:t>
            </w:r>
          </w:p>
        </w:tc>
      </w:tr>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r w:rsidRPr="00F36663">
              <w:rPr>
                <w:rFonts w:ascii="Times New Roman" w:eastAsiaTheme="minorHAnsi" w:hAnsi="Times New Roman" w:cs="Times New Roman"/>
              </w:rPr>
              <w:t>3</w:t>
            </w:r>
          </w:p>
        </w:tc>
        <w:tc>
          <w:tcPr>
            <w:tcW w:w="2126"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286</w:t>
            </w:r>
            <w:r>
              <w:rPr>
                <w:rFonts w:ascii="Times New Roman" w:eastAsiaTheme="minorHAnsi" w:hAnsi="Times New Roman" w:cs="Times New Roman"/>
              </w:rPr>
              <w:t xml:space="preserve"> </w:t>
            </w:r>
            <w:r w:rsidRPr="00F36663">
              <w:rPr>
                <w:rFonts w:ascii="Times New Roman" w:eastAsiaTheme="minorHAnsi" w:hAnsi="Times New Roman" w:cs="Times New Roman"/>
              </w:rPr>
              <w:t>/</w:t>
            </w:r>
            <w:r>
              <w:rPr>
                <w:rFonts w:ascii="Times New Roman" w:eastAsiaTheme="minorHAnsi" w:hAnsi="Times New Roman" w:cs="Times New Roman"/>
              </w:rPr>
              <w:t xml:space="preserve"> </w:t>
            </w:r>
            <w:r w:rsidRPr="00F36663">
              <w:rPr>
                <w:rFonts w:ascii="Times New Roman" w:eastAsiaTheme="minorHAnsi" w:hAnsi="Times New Roman" w:cs="Times New Roman"/>
              </w:rPr>
              <w:t>235</w:t>
            </w:r>
          </w:p>
        </w:tc>
        <w:tc>
          <w:tcPr>
            <w:tcW w:w="2410"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DA4234">
              <w:rPr>
                <w:rFonts w:ascii="Times New Roman" w:eastAsiaTheme="minorHAnsi" w:hAnsi="Times New Roman" w:cs="Times New Roman"/>
              </w:rPr>
              <w:t>5.819,59</w:t>
            </w:r>
          </w:p>
        </w:tc>
        <w:tc>
          <w:tcPr>
            <w:tcW w:w="2693"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700,00</w:t>
            </w:r>
          </w:p>
        </w:tc>
      </w:tr>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r w:rsidRPr="00F36663">
              <w:rPr>
                <w:rFonts w:ascii="Times New Roman" w:eastAsiaTheme="minorHAnsi" w:hAnsi="Times New Roman" w:cs="Times New Roman"/>
              </w:rPr>
              <w:t>4</w:t>
            </w:r>
          </w:p>
        </w:tc>
        <w:tc>
          <w:tcPr>
            <w:tcW w:w="2126"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286</w:t>
            </w:r>
            <w:r>
              <w:rPr>
                <w:rFonts w:ascii="Times New Roman" w:eastAsiaTheme="minorHAnsi" w:hAnsi="Times New Roman" w:cs="Times New Roman"/>
              </w:rPr>
              <w:t xml:space="preserve"> </w:t>
            </w:r>
            <w:r w:rsidRPr="00F36663">
              <w:rPr>
                <w:rFonts w:ascii="Times New Roman" w:eastAsiaTheme="minorHAnsi" w:hAnsi="Times New Roman" w:cs="Times New Roman"/>
              </w:rPr>
              <w:t>/</w:t>
            </w:r>
            <w:r>
              <w:rPr>
                <w:rFonts w:ascii="Times New Roman" w:eastAsiaTheme="minorHAnsi" w:hAnsi="Times New Roman" w:cs="Times New Roman"/>
              </w:rPr>
              <w:t xml:space="preserve"> </w:t>
            </w:r>
            <w:r w:rsidRPr="00F36663">
              <w:rPr>
                <w:rFonts w:ascii="Times New Roman" w:eastAsiaTheme="minorHAnsi" w:hAnsi="Times New Roman" w:cs="Times New Roman"/>
              </w:rPr>
              <w:t>236</w:t>
            </w:r>
          </w:p>
        </w:tc>
        <w:tc>
          <w:tcPr>
            <w:tcW w:w="2410"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ED39C0">
              <w:rPr>
                <w:rFonts w:ascii="Times New Roman" w:eastAsiaTheme="minorHAnsi" w:hAnsi="Times New Roman" w:cs="Times New Roman"/>
              </w:rPr>
              <w:t>6.423,92</w:t>
            </w:r>
          </w:p>
        </w:tc>
        <w:tc>
          <w:tcPr>
            <w:tcW w:w="2693"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700,00</w:t>
            </w:r>
          </w:p>
        </w:tc>
      </w:tr>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r w:rsidRPr="00F36663">
              <w:rPr>
                <w:rFonts w:ascii="Times New Roman" w:eastAsiaTheme="minorHAnsi" w:hAnsi="Times New Roman" w:cs="Times New Roman"/>
              </w:rPr>
              <w:t>5</w:t>
            </w:r>
          </w:p>
        </w:tc>
        <w:tc>
          <w:tcPr>
            <w:tcW w:w="2126"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286</w:t>
            </w:r>
            <w:r>
              <w:rPr>
                <w:rFonts w:ascii="Times New Roman" w:eastAsiaTheme="minorHAnsi" w:hAnsi="Times New Roman" w:cs="Times New Roman"/>
              </w:rPr>
              <w:t xml:space="preserve"> </w:t>
            </w:r>
            <w:r w:rsidRPr="00F36663">
              <w:rPr>
                <w:rFonts w:ascii="Times New Roman" w:eastAsiaTheme="minorHAnsi" w:hAnsi="Times New Roman" w:cs="Times New Roman"/>
              </w:rPr>
              <w:t>/</w:t>
            </w:r>
            <w:r>
              <w:rPr>
                <w:rFonts w:ascii="Times New Roman" w:eastAsiaTheme="minorHAnsi" w:hAnsi="Times New Roman" w:cs="Times New Roman"/>
              </w:rPr>
              <w:t xml:space="preserve"> </w:t>
            </w:r>
            <w:r w:rsidRPr="00F36663">
              <w:rPr>
                <w:rFonts w:ascii="Times New Roman" w:eastAsiaTheme="minorHAnsi" w:hAnsi="Times New Roman" w:cs="Times New Roman"/>
              </w:rPr>
              <w:t>237</w:t>
            </w:r>
          </w:p>
        </w:tc>
        <w:tc>
          <w:tcPr>
            <w:tcW w:w="2410"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ED39C0">
              <w:rPr>
                <w:rFonts w:ascii="Times New Roman" w:eastAsiaTheme="minorHAnsi" w:hAnsi="Times New Roman" w:cs="Times New Roman"/>
              </w:rPr>
              <w:t>9.007,94</w:t>
            </w:r>
          </w:p>
        </w:tc>
        <w:tc>
          <w:tcPr>
            <w:tcW w:w="2693"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700,00</w:t>
            </w:r>
          </w:p>
        </w:tc>
      </w:tr>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r w:rsidRPr="00F36663">
              <w:rPr>
                <w:rFonts w:ascii="Times New Roman" w:eastAsiaTheme="minorHAnsi" w:hAnsi="Times New Roman" w:cs="Times New Roman"/>
              </w:rPr>
              <w:t>6</w:t>
            </w:r>
          </w:p>
        </w:tc>
        <w:tc>
          <w:tcPr>
            <w:tcW w:w="2126"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286</w:t>
            </w:r>
            <w:r>
              <w:rPr>
                <w:rFonts w:ascii="Times New Roman" w:eastAsiaTheme="minorHAnsi" w:hAnsi="Times New Roman" w:cs="Times New Roman"/>
              </w:rPr>
              <w:t xml:space="preserve"> </w:t>
            </w:r>
            <w:r w:rsidRPr="00F36663">
              <w:rPr>
                <w:rFonts w:ascii="Times New Roman" w:eastAsiaTheme="minorHAnsi" w:hAnsi="Times New Roman" w:cs="Times New Roman"/>
              </w:rPr>
              <w:t>/</w:t>
            </w:r>
            <w:r>
              <w:rPr>
                <w:rFonts w:ascii="Times New Roman" w:eastAsiaTheme="minorHAnsi" w:hAnsi="Times New Roman" w:cs="Times New Roman"/>
              </w:rPr>
              <w:t xml:space="preserve"> </w:t>
            </w:r>
            <w:r w:rsidRPr="00F36663">
              <w:rPr>
                <w:rFonts w:ascii="Times New Roman" w:eastAsiaTheme="minorHAnsi" w:hAnsi="Times New Roman" w:cs="Times New Roman"/>
              </w:rPr>
              <w:t>238</w:t>
            </w:r>
          </w:p>
        </w:tc>
        <w:tc>
          <w:tcPr>
            <w:tcW w:w="2410" w:type="dxa"/>
          </w:tcPr>
          <w:p w:rsidR="007F3DF3" w:rsidRPr="00ED39C0" w:rsidRDefault="007F3DF3" w:rsidP="00E04220">
            <w:pPr>
              <w:autoSpaceDE w:val="0"/>
              <w:autoSpaceDN w:val="0"/>
              <w:adjustRightInd w:val="0"/>
              <w:jc w:val="center"/>
              <w:rPr>
                <w:rFonts w:ascii="Noto Sans" w:eastAsia="Times New Roman" w:hAnsi="Noto Sans" w:cs="Noto Sans"/>
                <w:color w:val="333333"/>
                <w:sz w:val="18"/>
                <w:szCs w:val="18"/>
              </w:rPr>
            </w:pPr>
            <w:r w:rsidRPr="00ED39C0">
              <w:rPr>
                <w:rFonts w:ascii="Times New Roman" w:eastAsiaTheme="minorHAnsi" w:hAnsi="Times New Roman" w:cs="Times New Roman"/>
              </w:rPr>
              <w:t>9.189,18</w:t>
            </w:r>
          </w:p>
        </w:tc>
        <w:tc>
          <w:tcPr>
            <w:tcW w:w="2693"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700,00</w:t>
            </w:r>
          </w:p>
        </w:tc>
      </w:tr>
      <w:tr w:rsidR="007F3DF3" w:rsidRPr="00F36663" w:rsidTr="00E04220">
        <w:tc>
          <w:tcPr>
            <w:tcW w:w="496" w:type="dxa"/>
          </w:tcPr>
          <w:p w:rsidR="007F3DF3" w:rsidRPr="00F36663" w:rsidRDefault="007F3DF3" w:rsidP="00E04220">
            <w:pPr>
              <w:autoSpaceDE w:val="0"/>
              <w:autoSpaceDN w:val="0"/>
              <w:adjustRightInd w:val="0"/>
              <w:jc w:val="both"/>
              <w:rPr>
                <w:rFonts w:ascii="Times New Roman" w:eastAsiaTheme="minorHAnsi" w:hAnsi="Times New Roman" w:cs="Times New Roman"/>
              </w:rPr>
            </w:pPr>
            <w:r w:rsidRPr="00F36663">
              <w:rPr>
                <w:rFonts w:ascii="Times New Roman" w:eastAsiaTheme="minorHAnsi" w:hAnsi="Times New Roman" w:cs="Times New Roman"/>
              </w:rPr>
              <w:t>7</w:t>
            </w:r>
          </w:p>
        </w:tc>
        <w:tc>
          <w:tcPr>
            <w:tcW w:w="2126"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286</w:t>
            </w:r>
            <w:r>
              <w:rPr>
                <w:rFonts w:ascii="Times New Roman" w:eastAsiaTheme="minorHAnsi" w:hAnsi="Times New Roman" w:cs="Times New Roman"/>
              </w:rPr>
              <w:t xml:space="preserve"> </w:t>
            </w:r>
            <w:r w:rsidRPr="00F36663">
              <w:rPr>
                <w:rFonts w:ascii="Times New Roman" w:eastAsiaTheme="minorHAnsi" w:hAnsi="Times New Roman" w:cs="Times New Roman"/>
              </w:rPr>
              <w:t>/</w:t>
            </w:r>
            <w:r>
              <w:rPr>
                <w:rFonts w:ascii="Times New Roman" w:eastAsiaTheme="minorHAnsi" w:hAnsi="Times New Roman" w:cs="Times New Roman"/>
              </w:rPr>
              <w:t xml:space="preserve"> </w:t>
            </w:r>
            <w:r w:rsidRPr="00F36663">
              <w:rPr>
                <w:rFonts w:ascii="Times New Roman" w:eastAsiaTheme="minorHAnsi" w:hAnsi="Times New Roman" w:cs="Times New Roman"/>
              </w:rPr>
              <w:t>265</w:t>
            </w:r>
          </w:p>
        </w:tc>
        <w:tc>
          <w:tcPr>
            <w:tcW w:w="2410"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ED39C0">
              <w:rPr>
                <w:rFonts w:ascii="Times New Roman" w:eastAsiaTheme="minorHAnsi" w:hAnsi="Times New Roman" w:cs="Times New Roman"/>
              </w:rPr>
              <w:t>6.173,53</w:t>
            </w:r>
          </w:p>
        </w:tc>
        <w:tc>
          <w:tcPr>
            <w:tcW w:w="2693" w:type="dxa"/>
          </w:tcPr>
          <w:p w:rsidR="007F3DF3" w:rsidRPr="00F36663" w:rsidRDefault="007F3DF3" w:rsidP="00E04220">
            <w:pPr>
              <w:autoSpaceDE w:val="0"/>
              <w:autoSpaceDN w:val="0"/>
              <w:adjustRightInd w:val="0"/>
              <w:jc w:val="center"/>
              <w:rPr>
                <w:rFonts w:ascii="Times New Roman" w:eastAsiaTheme="minorHAnsi" w:hAnsi="Times New Roman" w:cs="Times New Roman"/>
              </w:rPr>
            </w:pPr>
            <w:r w:rsidRPr="00F36663">
              <w:rPr>
                <w:rFonts w:ascii="Times New Roman" w:eastAsiaTheme="minorHAnsi" w:hAnsi="Times New Roman" w:cs="Times New Roman"/>
              </w:rPr>
              <w:t>700,00</w:t>
            </w:r>
          </w:p>
        </w:tc>
      </w:tr>
    </w:tbl>
    <w:p w:rsidR="007F3DF3" w:rsidRDefault="007F3DF3" w:rsidP="007F3DF3">
      <w:pPr>
        <w:pStyle w:val="Tablecaption0"/>
        <w:ind w:left="720" w:firstLine="0"/>
      </w:pPr>
    </w:p>
    <w:p w:rsidR="007F3DF3" w:rsidRDefault="007F3DF3" w:rsidP="007F3DF3">
      <w:pPr>
        <w:spacing w:after="239" w:line="1" w:lineRule="exact"/>
      </w:pPr>
    </w:p>
    <w:p w:rsidR="007F3DF3" w:rsidRDefault="007F3DF3" w:rsidP="007F3DF3">
      <w:pPr>
        <w:pStyle w:val="GvdeMetni"/>
        <w:numPr>
          <w:ilvl w:val="0"/>
          <w:numId w:val="1"/>
        </w:numPr>
        <w:tabs>
          <w:tab w:val="left" w:pos="365"/>
        </w:tabs>
        <w:ind w:left="360" w:hanging="360"/>
      </w:pPr>
      <w:r>
        <w:rPr>
          <w:rStyle w:val="GvdeMetniChar"/>
        </w:rPr>
        <w:t>Bu şartnamede arsanın maliki olan Isparta-Yalvaç Organize Sanayi Bölgesi “Isparta-Yalvaç OSB” ihaleye katılanlar ise “İSTEKLİ” olarak anılacaktır.</w:t>
      </w:r>
    </w:p>
    <w:p w:rsidR="007F3DF3" w:rsidRDefault="007F3DF3" w:rsidP="007F3DF3">
      <w:pPr>
        <w:pStyle w:val="GvdeMetni"/>
        <w:numPr>
          <w:ilvl w:val="0"/>
          <w:numId w:val="1"/>
        </w:numPr>
        <w:tabs>
          <w:tab w:val="left" w:pos="365"/>
        </w:tabs>
        <w:ind w:left="360" w:hanging="360"/>
      </w:pPr>
      <w:r>
        <w:rPr>
          <w:rStyle w:val="GvdeMetniChar"/>
        </w:rPr>
        <w:t>İhaleler Isparta-Yalvaç Organize Sanayi Bölge Müdürlüğünde yapılacaktır. İhale günü ve saati daha sonra belirlenecektir. Açık artırma m2 birim fiyat üzerinden en az 50 TL/m</w:t>
      </w:r>
      <w:r>
        <w:rPr>
          <w:rStyle w:val="GvdeMetniChar"/>
          <w:vertAlign w:val="superscript"/>
        </w:rPr>
        <w:t>2</w:t>
      </w:r>
      <w:r>
        <w:rPr>
          <w:rStyle w:val="GvdeMetniChar"/>
        </w:rPr>
        <w:t xml:space="preserve"> artırım ile yapılacaktır.</w:t>
      </w:r>
    </w:p>
    <w:p w:rsidR="007F3DF3" w:rsidRDefault="007F3DF3" w:rsidP="007F3DF3">
      <w:pPr>
        <w:pStyle w:val="GvdeMetni"/>
        <w:numPr>
          <w:ilvl w:val="1"/>
          <w:numId w:val="1"/>
        </w:numPr>
        <w:tabs>
          <w:tab w:val="left" w:pos="987"/>
        </w:tabs>
        <w:ind w:firstLine="360"/>
      </w:pPr>
      <w:r>
        <w:rPr>
          <w:rStyle w:val="GvdeMetniChar"/>
        </w:rPr>
        <w:t>Vekâleten katılanlar noter onaylı vekâletname sunacaktır.</w:t>
      </w:r>
    </w:p>
    <w:p w:rsidR="007F3DF3" w:rsidRDefault="007F3DF3" w:rsidP="007F3DF3">
      <w:pPr>
        <w:pStyle w:val="GvdeMetni"/>
        <w:numPr>
          <w:ilvl w:val="0"/>
          <w:numId w:val="1"/>
        </w:numPr>
        <w:tabs>
          <w:tab w:val="left" w:pos="365"/>
        </w:tabs>
        <w:ind w:left="360" w:hanging="360"/>
      </w:pPr>
      <w:r>
        <w:rPr>
          <w:rStyle w:val="GvdeMetniChar"/>
        </w:rPr>
        <w:t>Muhammen bedel 700,00 TL/m² üzerinden olmak üzere yukarıdaki tabloda parsel için belirtilmiştir.</w:t>
      </w:r>
    </w:p>
    <w:p w:rsidR="007F3DF3" w:rsidRDefault="007F3DF3" w:rsidP="007F3DF3">
      <w:pPr>
        <w:pStyle w:val="GvdeMetni"/>
        <w:ind w:left="360"/>
      </w:pPr>
      <w:r>
        <w:rPr>
          <w:rStyle w:val="GvdeMetniChar"/>
          <w:color w:val="EE0000"/>
        </w:rPr>
        <w:t xml:space="preserve">Satış bedeli </w:t>
      </w:r>
      <w:r w:rsidRPr="00C3345E">
        <w:rPr>
          <w:rFonts w:eastAsiaTheme="minorHAnsi"/>
          <w:color w:val="FF0000"/>
        </w:rPr>
        <w:t xml:space="preserve">%40’ının peşin geri kalan %60’ının 36 ay eşit taksitler halinde (taksit ödemelerinde yıllık tefe-tüfe oranında artış yapılarak) </w:t>
      </w:r>
      <w:r w:rsidRPr="00C3345E">
        <w:rPr>
          <w:rStyle w:val="GvdeMetniChar"/>
          <w:color w:val="FF0000"/>
        </w:rPr>
        <w:t xml:space="preserve"> </w:t>
      </w:r>
      <w:r>
        <w:rPr>
          <w:rStyle w:val="GvdeMetniChar"/>
          <w:color w:val="EE0000"/>
        </w:rPr>
        <w:t>olup ihalenin kesinleşmesinden itibaren %40 peşinat en geç 15 gün içerisinde ilgili OSB hesabına yatırılacaktır. Zamanında yapılmayan ödeme olursa ihale iptal edilecektir. (Çek, senet, fon ya da yabancı para kabul edilmeyecektir.)</w:t>
      </w:r>
    </w:p>
    <w:p w:rsidR="007F3DF3" w:rsidRDefault="007F3DF3" w:rsidP="007F3DF3">
      <w:pPr>
        <w:pStyle w:val="GvdeMetni"/>
        <w:numPr>
          <w:ilvl w:val="0"/>
          <w:numId w:val="1"/>
        </w:numPr>
        <w:tabs>
          <w:tab w:val="left" w:pos="360"/>
        </w:tabs>
      </w:pPr>
      <w:r>
        <w:rPr>
          <w:rStyle w:val="GvdeMetniChar"/>
        </w:rPr>
        <w:t>Tapu devri sırasındaki her türlü vergi, resim, harç vb. giderler istekliye aittir.</w:t>
      </w:r>
    </w:p>
    <w:p w:rsidR="007F3DF3" w:rsidRDefault="007F3DF3" w:rsidP="007F3DF3">
      <w:pPr>
        <w:pStyle w:val="GvdeMetni"/>
        <w:numPr>
          <w:ilvl w:val="0"/>
          <w:numId w:val="1"/>
        </w:numPr>
        <w:tabs>
          <w:tab w:val="left" w:pos="360"/>
        </w:tabs>
        <w:ind w:left="360" w:hanging="360"/>
      </w:pPr>
      <w:r w:rsidRPr="00C3345E">
        <w:rPr>
          <w:rFonts w:eastAsia="Microsoft Sans Serif"/>
        </w:rPr>
        <w:t>Isparta-Yalvaç</w:t>
      </w:r>
      <w:r>
        <w:rPr>
          <w:rStyle w:val="GvdeMetniChar"/>
        </w:rPr>
        <w:t xml:space="preserve"> OSB Yönetim Kurulunca ihalenin onaylanmasına müteakip ihale üzerinde kalan isteklilerin teklif mektubunda veya şartnamede bildirdiği adreslerine sözleşme yapmak üzere iadeli taahhütlü mektupla ya da APS veya taşıma şirketleri ile tebligat yapılacaktır.</w:t>
      </w:r>
    </w:p>
    <w:p w:rsidR="007F3DF3" w:rsidRDefault="007F3DF3" w:rsidP="007F3DF3">
      <w:pPr>
        <w:pStyle w:val="GvdeMetni"/>
        <w:numPr>
          <w:ilvl w:val="1"/>
          <w:numId w:val="1"/>
        </w:numPr>
        <w:tabs>
          <w:tab w:val="left" w:pos="842"/>
        </w:tabs>
        <w:ind w:left="360" w:hanging="360"/>
      </w:pPr>
      <w:r>
        <w:rPr>
          <w:rStyle w:val="GvdeMetniChar"/>
        </w:rPr>
        <w:t>İstekli tebligatı aldığı tarihten itibaren 15 gün içinde peşinat bedelini ödeyecek, OSB mevzuatı gereği vermesi gereken belgeleri sunduktan sonra sözleşmesini imzalayacaktır. Zamanında ödenmemesi durumunda OSB mevzuatına uygun şekilde tahsisin iptali OSB Yönetim Kurulunca yapılacaktır.</w:t>
      </w:r>
    </w:p>
    <w:p w:rsidR="007F3DF3" w:rsidRDefault="007F3DF3" w:rsidP="007F3DF3">
      <w:pPr>
        <w:pStyle w:val="GvdeMetni"/>
        <w:numPr>
          <w:ilvl w:val="1"/>
          <w:numId w:val="2"/>
        </w:numPr>
        <w:tabs>
          <w:tab w:val="left" w:pos="842"/>
        </w:tabs>
        <w:ind w:left="360" w:hanging="360"/>
      </w:pPr>
      <w:r>
        <w:rPr>
          <w:rStyle w:val="GvdeMetniChar"/>
        </w:rPr>
        <w:t>İsteklinin, doğrudan kendisine tebliğ edildiği tarihten veya tebligat adresine yapılan bildirimden sonraki 15 gün içerisinde ihale bedelini yatırıp sözleşme imzalaması gerekmektedir, aksi takdirde isteklinin hakkı iptal edilecek .</w:t>
      </w:r>
    </w:p>
    <w:p w:rsidR="007F3DF3" w:rsidRDefault="007F3DF3" w:rsidP="007F3DF3">
      <w:pPr>
        <w:pStyle w:val="GvdeMetni"/>
        <w:numPr>
          <w:ilvl w:val="0"/>
          <w:numId w:val="3"/>
        </w:numPr>
        <w:tabs>
          <w:tab w:val="left" w:pos="360"/>
        </w:tabs>
        <w:ind w:left="360" w:hanging="360"/>
        <w:rPr>
          <w:rStyle w:val="GvdeMetniChar"/>
        </w:rPr>
      </w:pPr>
      <w:r>
        <w:rPr>
          <w:rStyle w:val="GvdeMetniChar"/>
        </w:rPr>
        <w:t xml:space="preserve">İhale üzerinde kalan isteklinin, taşınmazı satın almaktan vazgeçmesini yazılı bildirmesi halinde, </w:t>
      </w:r>
      <w:r w:rsidRPr="00C3345E">
        <w:rPr>
          <w:rFonts w:eastAsia="Microsoft Sans Serif"/>
        </w:rPr>
        <w:t>Isparta-Yalvaç</w:t>
      </w:r>
      <w:r>
        <w:rPr>
          <w:rStyle w:val="GvdeMetniChar"/>
        </w:rPr>
        <w:t xml:space="preserve"> OSB ihaleyi iptal ederek yeni ihale açmakta yetkilidir. Bu durumda aynı süre ve koşullar bu istekli için de geçerli olacaktır.</w:t>
      </w:r>
    </w:p>
    <w:p w:rsidR="007F3DF3" w:rsidRDefault="007F3DF3" w:rsidP="007F3DF3">
      <w:pPr>
        <w:pStyle w:val="GvdeMetni"/>
        <w:numPr>
          <w:ilvl w:val="0"/>
          <w:numId w:val="3"/>
        </w:numPr>
        <w:tabs>
          <w:tab w:val="left" w:pos="360"/>
        </w:tabs>
        <w:ind w:firstLine="360"/>
      </w:pPr>
      <w:r>
        <w:rPr>
          <w:rStyle w:val="GvdeMetniChar"/>
        </w:rPr>
        <w:t xml:space="preserve">İsteklilerin teklif mektubunda veya satış Şartnamesinde vermiş olduğu açık adresine yapılan tebligatların, adres değişikliği, adrese geç ulaşma, PTT veya taşıma şirketlerindeki gecikmeler nedeniyle istekliye geç ulaşmasından </w:t>
      </w:r>
      <w:r w:rsidRPr="00D95F2D">
        <w:rPr>
          <w:rFonts w:eastAsia="Microsoft Sans Serif"/>
        </w:rPr>
        <w:t>Isparta-Yalvaç</w:t>
      </w:r>
      <w:r>
        <w:rPr>
          <w:rStyle w:val="GvdeMetniChar"/>
        </w:rPr>
        <w:t xml:space="preserve"> OSB sorumlu değildir.</w:t>
      </w:r>
    </w:p>
    <w:p w:rsidR="007F3DF3" w:rsidRDefault="007F3DF3" w:rsidP="007F3DF3">
      <w:pPr>
        <w:pStyle w:val="GvdeMetni"/>
        <w:numPr>
          <w:ilvl w:val="0"/>
          <w:numId w:val="3"/>
        </w:numPr>
        <w:tabs>
          <w:tab w:val="left" w:pos="399"/>
        </w:tabs>
        <w:ind w:left="360" w:hanging="360"/>
      </w:pPr>
      <w:r>
        <w:rPr>
          <w:rStyle w:val="GvdeMetniChar"/>
        </w:rPr>
        <w:t>Parseldeki yapılaşma koşulları; 4562 sayılı OSB Kanunu ve Uygulama Yönetmeliği hükümlerine göre yapılacaktır.</w:t>
      </w:r>
    </w:p>
    <w:p w:rsidR="007F3DF3" w:rsidRDefault="007F3DF3" w:rsidP="007F3DF3">
      <w:pPr>
        <w:pStyle w:val="GvdeMetni"/>
        <w:numPr>
          <w:ilvl w:val="0"/>
          <w:numId w:val="3"/>
        </w:numPr>
        <w:tabs>
          <w:tab w:val="left" w:pos="493"/>
        </w:tabs>
        <w:ind w:left="360" w:hanging="360"/>
      </w:pPr>
      <w:r>
        <w:rPr>
          <w:rStyle w:val="GvdeMetniChar"/>
        </w:rPr>
        <w:lastRenderedPageBreak/>
        <w:t>OSB Uygulama Yönetmeliği gereği şartname ekinde bulunan Taahhütname İstekli tarafından görülmüş, kabul edilmiş ve onaylanmıştır.</w:t>
      </w:r>
    </w:p>
    <w:p w:rsidR="007F3DF3" w:rsidRDefault="007F3DF3" w:rsidP="007F3DF3">
      <w:pPr>
        <w:pStyle w:val="GvdeMetni"/>
        <w:numPr>
          <w:ilvl w:val="0"/>
          <w:numId w:val="3"/>
        </w:numPr>
        <w:tabs>
          <w:tab w:val="left" w:pos="493"/>
        </w:tabs>
        <w:ind w:left="360" w:hanging="360"/>
      </w:pPr>
      <w:r>
        <w:rPr>
          <w:rStyle w:val="GvdeMetniChar"/>
        </w:rPr>
        <w:t>İstekli; ihalesine katılacağı gayrimenkulü mevcut durumu ile görmüş, beğenmiş ve kabul etmiştir.</w:t>
      </w:r>
    </w:p>
    <w:p w:rsidR="007F3DF3" w:rsidRDefault="007F3DF3" w:rsidP="007F3DF3">
      <w:pPr>
        <w:pStyle w:val="GvdeMetni"/>
        <w:numPr>
          <w:ilvl w:val="0"/>
          <w:numId w:val="3"/>
        </w:numPr>
        <w:tabs>
          <w:tab w:val="left" w:pos="493"/>
        </w:tabs>
        <w:ind w:left="360" w:hanging="360"/>
      </w:pPr>
      <w:r>
        <w:rPr>
          <w:rStyle w:val="GvdeMetniChar"/>
        </w:rPr>
        <w:t xml:space="preserve">İstekli; </w:t>
      </w:r>
      <w:r w:rsidRPr="00D95F2D">
        <w:rPr>
          <w:rFonts w:eastAsia="Microsoft Sans Serif"/>
        </w:rPr>
        <w:t>Isparta-Yalvaç</w:t>
      </w:r>
      <w:r>
        <w:rPr>
          <w:rStyle w:val="GvdeMetniChar"/>
        </w:rPr>
        <w:t xml:space="preserve"> OSB’ce tespiti mümkün olmayan, muhtelif noksanlıklar ve bu gibi nedenlerle ilgili her türlü talep, itiraz, vb. haklarından peşinen feragat etmiş olduğunu kabul eder. </w:t>
      </w:r>
    </w:p>
    <w:p w:rsidR="007F3DF3" w:rsidRDefault="007F3DF3" w:rsidP="007F3DF3">
      <w:pPr>
        <w:pStyle w:val="GvdeMetni"/>
        <w:numPr>
          <w:ilvl w:val="0"/>
          <w:numId w:val="3"/>
        </w:numPr>
        <w:tabs>
          <w:tab w:val="left" w:pos="493"/>
        </w:tabs>
        <w:ind w:left="360" w:hanging="360"/>
      </w:pPr>
      <w:r w:rsidRPr="00D95F2D">
        <w:rPr>
          <w:rFonts w:eastAsia="Microsoft Sans Serif"/>
        </w:rPr>
        <w:t>Isparta-Yalvaç</w:t>
      </w:r>
      <w:r>
        <w:rPr>
          <w:rStyle w:val="GvdeMetniChar"/>
        </w:rPr>
        <w:t xml:space="preserve"> Organize Sanayi Bölgesi Kamu İhale Kanunu Hükümlerine tabi olmayıp ihaleyi yapıp yapmamak, her aşamada iptal etmek konusunda serbesttir. İhale; </w:t>
      </w:r>
      <w:r w:rsidRPr="00D95F2D">
        <w:rPr>
          <w:rFonts w:eastAsia="Microsoft Sans Serif"/>
        </w:rPr>
        <w:t>Isparta-Yalvaç</w:t>
      </w:r>
      <w:r>
        <w:rPr>
          <w:rStyle w:val="GvdeMetniChar"/>
        </w:rPr>
        <w:t xml:space="preserve"> Organize Sanayi Bölgesi Yönetim Kurulu tarafından onaylandıktan sonra kesinleşecektir.</w:t>
      </w:r>
    </w:p>
    <w:p w:rsidR="007F3DF3" w:rsidRDefault="007F3DF3" w:rsidP="007F3DF3">
      <w:pPr>
        <w:pStyle w:val="GvdeMetni"/>
        <w:numPr>
          <w:ilvl w:val="0"/>
          <w:numId w:val="3"/>
        </w:numPr>
        <w:tabs>
          <w:tab w:val="left" w:pos="493"/>
        </w:tabs>
        <w:ind w:left="360" w:hanging="360"/>
      </w:pPr>
      <w:r>
        <w:rPr>
          <w:rStyle w:val="GvdeMetniChar"/>
        </w:rPr>
        <w:t xml:space="preserve">Kurulamayacak tesisler kapsamındaki yatırımlar için arsa tahsisi yapılmayacak olup ihaleye katılanların bu şartı kabul ettikleri varsayılacaktır. İhaleyi kazanan isteklinin </w:t>
      </w:r>
      <w:r w:rsidRPr="00D95F2D">
        <w:rPr>
          <w:rFonts w:eastAsia="Microsoft Sans Serif"/>
        </w:rPr>
        <w:t>Isparta-Yalvaç</w:t>
      </w:r>
      <w:r>
        <w:rPr>
          <w:rStyle w:val="GvdeMetniChar"/>
        </w:rPr>
        <w:t xml:space="preserve"> OSB içerisinde kurulamayacak bir tesis kurma talebi ve girişimi olursa tahsisi iptal edilecektir. Kurulamayacak tesisler Ek’te liste halinde sıralanmıştır.</w:t>
      </w:r>
    </w:p>
    <w:p w:rsidR="007F3DF3" w:rsidRDefault="007F3DF3" w:rsidP="007F3DF3">
      <w:pPr>
        <w:pStyle w:val="GvdeMetni"/>
        <w:numPr>
          <w:ilvl w:val="0"/>
          <w:numId w:val="3"/>
        </w:numPr>
        <w:tabs>
          <w:tab w:val="left" w:pos="493"/>
        </w:tabs>
        <w:ind w:left="360" w:hanging="360"/>
      </w:pPr>
      <w:r>
        <w:rPr>
          <w:rStyle w:val="GvdeMetniChar"/>
        </w:rPr>
        <w:t>İşbu şartname 15 (onbeş) maddeden ibaret olup, bu şartname ve ihale kapsamındaki ihtilafların çözümünde Yalvaç mahkemeleri ve icra daireleri yetkilidir.</w:t>
      </w:r>
    </w:p>
    <w:p w:rsidR="007F3DF3" w:rsidRDefault="007F3DF3" w:rsidP="007F3DF3">
      <w:pPr>
        <w:pStyle w:val="GvdeMetni"/>
        <w:spacing w:line="262" w:lineRule="auto"/>
        <w:rPr>
          <w:rStyle w:val="GvdeMetniChar"/>
        </w:rPr>
      </w:pPr>
    </w:p>
    <w:p w:rsidR="007F3DF3" w:rsidRDefault="007F3DF3" w:rsidP="007F3DF3">
      <w:pPr>
        <w:pStyle w:val="GvdeMetni"/>
        <w:spacing w:line="262" w:lineRule="auto"/>
        <w:rPr>
          <w:rStyle w:val="GvdeMetniChar"/>
        </w:rPr>
      </w:pPr>
    </w:p>
    <w:p w:rsidR="007F3DF3" w:rsidRDefault="007F3DF3" w:rsidP="007F3DF3">
      <w:pPr>
        <w:pStyle w:val="GvdeMetni"/>
        <w:spacing w:line="262" w:lineRule="auto"/>
      </w:pPr>
      <w:r>
        <w:rPr>
          <w:rStyle w:val="GvdeMetniChar"/>
        </w:rPr>
        <w:t>EKLER:</w:t>
      </w:r>
    </w:p>
    <w:p w:rsidR="007F3DF3" w:rsidRDefault="007F3DF3" w:rsidP="007F3DF3">
      <w:pPr>
        <w:pStyle w:val="GvdeMetni"/>
        <w:numPr>
          <w:ilvl w:val="0"/>
          <w:numId w:val="4"/>
        </w:numPr>
        <w:tabs>
          <w:tab w:val="left" w:pos="813"/>
        </w:tabs>
        <w:spacing w:line="262" w:lineRule="auto"/>
        <w:ind w:firstLine="360"/>
      </w:pPr>
      <w:r>
        <w:rPr>
          <w:rStyle w:val="GvdeMetniChar"/>
        </w:rPr>
        <w:t>Yatırım Bilgi Formu Örneği</w:t>
      </w:r>
    </w:p>
    <w:p w:rsidR="007F3DF3" w:rsidRDefault="007F3DF3" w:rsidP="007F3DF3">
      <w:pPr>
        <w:pStyle w:val="GvdeMetni"/>
        <w:numPr>
          <w:ilvl w:val="0"/>
          <w:numId w:val="4"/>
        </w:numPr>
        <w:tabs>
          <w:tab w:val="left" w:pos="822"/>
        </w:tabs>
        <w:spacing w:line="262" w:lineRule="auto"/>
        <w:ind w:firstLine="360"/>
      </w:pPr>
      <w:r>
        <w:rPr>
          <w:rStyle w:val="GvdeMetniChar"/>
        </w:rPr>
        <w:t>Tahsis Sürelerine Uyacağına Dair Taahhütname</w:t>
      </w:r>
    </w:p>
    <w:p w:rsidR="007F3DF3" w:rsidRDefault="007F3DF3" w:rsidP="007F3DF3">
      <w:pPr>
        <w:pStyle w:val="GvdeMetni"/>
        <w:numPr>
          <w:ilvl w:val="0"/>
          <w:numId w:val="4"/>
        </w:numPr>
        <w:tabs>
          <w:tab w:val="left" w:pos="822"/>
        </w:tabs>
        <w:spacing w:line="262" w:lineRule="auto"/>
        <w:ind w:firstLine="360"/>
        <w:rPr>
          <w:rStyle w:val="GvdeMetniChar"/>
        </w:rPr>
      </w:pPr>
      <w:r>
        <w:rPr>
          <w:rStyle w:val="GvdeMetniChar"/>
        </w:rPr>
        <w:t>Kurulamayacak Tesisler Listesi</w:t>
      </w:r>
    </w:p>
    <w:p w:rsidR="007F3DF3" w:rsidRDefault="007F3DF3" w:rsidP="007F3DF3">
      <w:pPr>
        <w:pStyle w:val="GvdeMetni"/>
        <w:tabs>
          <w:tab w:val="left" w:pos="822"/>
        </w:tabs>
        <w:spacing w:line="262" w:lineRule="auto"/>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pPr>
      <w:r>
        <w:rPr>
          <w:rStyle w:val="GvdeMetniChar"/>
        </w:rPr>
        <w:t>ŞARTNAMEYİ OKUDUM VE AYNEN KABUL EDİYORUM.</w:t>
      </w:r>
    </w:p>
    <w:p w:rsidR="007F3DF3" w:rsidRDefault="007F3DF3" w:rsidP="007F3DF3">
      <w:pPr>
        <w:pStyle w:val="GvdeMetni"/>
        <w:rPr>
          <w:rStyle w:val="GvdeMetniChar"/>
        </w:rPr>
      </w:pPr>
    </w:p>
    <w:p w:rsidR="007F3DF3" w:rsidRDefault="007F3DF3" w:rsidP="007F3DF3">
      <w:pPr>
        <w:pStyle w:val="GvdeMetni"/>
      </w:pPr>
      <w:r>
        <w:rPr>
          <w:rStyle w:val="GvdeMetniChar"/>
        </w:rPr>
        <w:t>Ad – Soyadı:</w:t>
      </w:r>
    </w:p>
    <w:p w:rsidR="007F3DF3" w:rsidRDefault="007F3DF3" w:rsidP="007F3DF3">
      <w:pPr>
        <w:pStyle w:val="GvdeMetni"/>
      </w:pPr>
      <w:r>
        <w:rPr>
          <w:rStyle w:val="GvdeMetniChar"/>
        </w:rPr>
        <w:t>Kaşe:</w:t>
      </w:r>
    </w:p>
    <w:p w:rsidR="007F3DF3" w:rsidRDefault="007F3DF3" w:rsidP="007F3DF3">
      <w:pPr>
        <w:pStyle w:val="GvdeMetni"/>
      </w:pPr>
      <w:r>
        <w:rPr>
          <w:rStyle w:val="GvdeMetniChar"/>
        </w:rPr>
        <w:t>İmza:</w:t>
      </w:r>
    </w:p>
    <w:p w:rsidR="007F3DF3" w:rsidRDefault="007F3DF3" w:rsidP="007F3DF3">
      <w:pPr>
        <w:pStyle w:val="GvdeMetni"/>
        <w:tabs>
          <w:tab w:val="left" w:pos="1997"/>
        </w:tabs>
      </w:pPr>
      <w:r>
        <w:rPr>
          <w:rStyle w:val="GvdeMetniChar"/>
        </w:rPr>
        <w:t xml:space="preserve">Açık </w:t>
      </w:r>
      <w:r>
        <w:rPr>
          <w:rStyle w:val="GvdeMetniChar"/>
          <w:lang w:val="de-DE" w:eastAsia="de-DE"/>
        </w:rPr>
        <w:t>Adres</w:t>
      </w:r>
      <w:r>
        <w:rPr>
          <w:rStyle w:val="GvdeMetniChar"/>
          <w:lang w:val="de-DE" w:eastAsia="de-DE"/>
        </w:rPr>
        <w:tab/>
        <w:t>:</w:t>
      </w:r>
    </w:p>
    <w:p w:rsidR="007F3DF3" w:rsidRDefault="007F3DF3" w:rsidP="007F3DF3">
      <w:pPr>
        <w:pStyle w:val="GvdeMetni"/>
        <w:sectPr w:rsidR="007F3DF3">
          <w:footerReference w:type="default" r:id="rId7"/>
          <w:pgSz w:w="11909" w:h="16840"/>
          <w:pgMar w:top="1443" w:right="972" w:bottom="1248" w:left="1173" w:header="1015" w:footer="3" w:gutter="0"/>
          <w:cols w:space="720"/>
          <w:noEndnote/>
          <w:docGrid w:linePitch="360"/>
        </w:sectPr>
      </w:pPr>
      <w:r>
        <w:rPr>
          <w:rStyle w:val="GvdeMetniChar"/>
          <w:lang w:val="de-DE" w:eastAsia="de-DE"/>
        </w:rPr>
        <w:t>Telefon ve Faks No :</w:t>
      </w:r>
    </w:p>
    <w:p w:rsidR="007F3DF3" w:rsidRDefault="007F3DF3" w:rsidP="007F3DF3">
      <w:pPr>
        <w:pStyle w:val="Tablecaption0"/>
        <w:ind w:left="0" w:firstLine="0"/>
        <w:jc w:val="center"/>
      </w:pPr>
      <w:r>
        <w:rPr>
          <w:rStyle w:val="Tablecaption"/>
        </w:rPr>
        <w:lastRenderedPageBreak/>
        <w:t>TABLODAKİ TÜM BİLGİLER DOĞRU VE EKSİKSİZ OLARAK DOLDURULACAKTIR</w:t>
      </w:r>
    </w:p>
    <w:tbl>
      <w:tblPr>
        <w:tblOverlap w:val="never"/>
        <w:tblW w:w="0" w:type="auto"/>
        <w:tblLayout w:type="fixed"/>
        <w:tblCellMar>
          <w:left w:w="10" w:type="dxa"/>
          <w:right w:w="10" w:type="dxa"/>
        </w:tblCellMar>
        <w:tblLook w:val="04A0" w:firstRow="1" w:lastRow="0" w:firstColumn="1" w:lastColumn="0" w:noHBand="0" w:noVBand="1"/>
      </w:tblPr>
      <w:tblGrid>
        <w:gridCol w:w="1421"/>
        <w:gridCol w:w="960"/>
        <w:gridCol w:w="854"/>
        <w:gridCol w:w="1560"/>
        <w:gridCol w:w="4968"/>
      </w:tblGrid>
      <w:tr w:rsidR="007F3DF3" w:rsidTr="00E04220">
        <w:trPr>
          <w:trHeight w:val="427"/>
        </w:trPr>
        <w:tc>
          <w:tcPr>
            <w:tcW w:w="9763" w:type="dxa"/>
            <w:gridSpan w:val="5"/>
            <w:tcBorders>
              <w:top w:val="single" w:sz="4" w:space="0" w:color="auto"/>
              <w:left w:val="single" w:sz="4" w:space="0" w:color="auto"/>
              <w:right w:val="single" w:sz="4" w:space="0" w:color="auto"/>
            </w:tcBorders>
            <w:vAlign w:val="center"/>
          </w:tcPr>
          <w:p w:rsidR="007F3DF3" w:rsidRDefault="007F3DF3" w:rsidP="00E04220">
            <w:pPr>
              <w:pStyle w:val="Other0"/>
              <w:rPr>
                <w:sz w:val="20"/>
                <w:szCs w:val="20"/>
              </w:rPr>
            </w:pPr>
            <w:r w:rsidRPr="00D95F2D">
              <w:rPr>
                <w:rFonts w:eastAsia="Microsoft Sans Serif"/>
              </w:rPr>
              <w:t>Isparta-Yalvaç</w:t>
            </w:r>
            <w:r>
              <w:rPr>
                <w:rStyle w:val="Other"/>
                <w:sz w:val="20"/>
                <w:szCs w:val="20"/>
              </w:rPr>
              <w:t xml:space="preserve"> ORGANİZE SANAYİ BÖLGESİ YATIRIM BİLGİ FORMU</w:t>
            </w:r>
          </w:p>
        </w:tc>
      </w:tr>
      <w:tr w:rsidR="007F3DF3" w:rsidTr="00E04220">
        <w:trPr>
          <w:trHeight w:val="413"/>
        </w:trPr>
        <w:tc>
          <w:tcPr>
            <w:tcW w:w="9763" w:type="dxa"/>
            <w:gridSpan w:val="5"/>
            <w:tcBorders>
              <w:top w:val="single" w:sz="4" w:space="0" w:color="auto"/>
              <w:left w:val="single" w:sz="4" w:space="0" w:color="auto"/>
              <w:right w:val="single" w:sz="4" w:space="0" w:color="auto"/>
            </w:tcBorders>
            <w:vAlign w:val="center"/>
          </w:tcPr>
          <w:p w:rsidR="007F3DF3" w:rsidRDefault="007F3DF3" w:rsidP="00E04220">
            <w:pPr>
              <w:pStyle w:val="Other0"/>
              <w:rPr>
                <w:sz w:val="20"/>
                <w:szCs w:val="20"/>
              </w:rPr>
            </w:pPr>
            <w:r>
              <w:rPr>
                <w:rStyle w:val="Other"/>
                <w:sz w:val="20"/>
                <w:szCs w:val="20"/>
              </w:rPr>
              <w:t>I-YATIRIMCI BİLGİLERİ</w:t>
            </w:r>
          </w:p>
        </w:tc>
      </w:tr>
      <w:tr w:rsidR="007F3DF3" w:rsidTr="00E04220">
        <w:trPr>
          <w:trHeight w:val="350"/>
        </w:trPr>
        <w:tc>
          <w:tcPr>
            <w:tcW w:w="2381" w:type="dxa"/>
            <w:gridSpan w:val="2"/>
            <w:tcBorders>
              <w:top w:val="single" w:sz="4" w:space="0" w:color="auto"/>
              <w:left w:val="single" w:sz="4" w:space="0" w:color="auto"/>
            </w:tcBorders>
          </w:tcPr>
          <w:p w:rsidR="007F3DF3" w:rsidRDefault="007F3DF3" w:rsidP="00E04220">
            <w:pPr>
              <w:pStyle w:val="Other0"/>
              <w:rPr>
                <w:sz w:val="20"/>
                <w:szCs w:val="20"/>
              </w:rPr>
            </w:pPr>
            <w:r>
              <w:rPr>
                <w:rStyle w:val="Other"/>
                <w:sz w:val="20"/>
                <w:szCs w:val="20"/>
              </w:rPr>
              <w:t>Firma Adı / Ünvanı</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2381" w:type="dxa"/>
            <w:gridSpan w:val="2"/>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Haberleşme adresi</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2381" w:type="dxa"/>
            <w:gridSpan w:val="2"/>
            <w:tcBorders>
              <w:top w:val="single" w:sz="4" w:space="0" w:color="auto"/>
              <w:left w:val="single" w:sz="4" w:space="0" w:color="auto"/>
            </w:tcBorders>
          </w:tcPr>
          <w:p w:rsidR="007F3DF3" w:rsidRDefault="007F3DF3" w:rsidP="00E04220">
            <w:pPr>
              <w:pStyle w:val="Other0"/>
              <w:rPr>
                <w:sz w:val="20"/>
                <w:szCs w:val="20"/>
              </w:rPr>
            </w:pPr>
            <w:r>
              <w:rPr>
                <w:rStyle w:val="Other"/>
                <w:sz w:val="20"/>
                <w:szCs w:val="20"/>
              </w:rPr>
              <w:t>Telefon</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2381" w:type="dxa"/>
            <w:gridSpan w:val="2"/>
            <w:tcBorders>
              <w:top w:val="single" w:sz="4" w:space="0" w:color="auto"/>
              <w:left w:val="single" w:sz="4" w:space="0" w:color="auto"/>
            </w:tcBorders>
            <w:vAlign w:val="center"/>
          </w:tcPr>
          <w:p w:rsidR="007F3DF3" w:rsidRDefault="007F3DF3" w:rsidP="00E04220">
            <w:pPr>
              <w:pStyle w:val="Other0"/>
              <w:rPr>
                <w:sz w:val="20"/>
                <w:szCs w:val="20"/>
              </w:rPr>
            </w:pPr>
            <w:r>
              <w:rPr>
                <w:rStyle w:val="Other"/>
                <w:sz w:val="20"/>
                <w:szCs w:val="20"/>
              </w:rPr>
              <w:t>Faks</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2381" w:type="dxa"/>
            <w:gridSpan w:val="2"/>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E-posta</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1"/>
        </w:trPr>
        <w:tc>
          <w:tcPr>
            <w:tcW w:w="2381" w:type="dxa"/>
            <w:gridSpan w:val="2"/>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Web Adresi</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50"/>
        </w:trPr>
        <w:tc>
          <w:tcPr>
            <w:tcW w:w="2381" w:type="dxa"/>
            <w:gridSpan w:val="2"/>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Vergi Dairesi</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50"/>
        </w:trPr>
        <w:tc>
          <w:tcPr>
            <w:tcW w:w="2381" w:type="dxa"/>
            <w:gridSpan w:val="2"/>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Vergi Sicil No</w:t>
            </w:r>
          </w:p>
        </w:tc>
        <w:tc>
          <w:tcPr>
            <w:tcW w:w="7382" w:type="dxa"/>
            <w:gridSpan w:val="3"/>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3235"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Bağlı bulunduğu meslek kuruluşu</w:t>
            </w:r>
          </w:p>
        </w:tc>
        <w:tc>
          <w:tcPr>
            <w:tcW w:w="6528" w:type="dxa"/>
            <w:gridSpan w:val="2"/>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3235"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Sermayesi (TL)</w:t>
            </w:r>
          </w:p>
        </w:tc>
        <w:tc>
          <w:tcPr>
            <w:tcW w:w="6528" w:type="dxa"/>
            <w:gridSpan w:val="2"/>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1421" w:type="dxa"/>
            <w:vMerge w:val="restart"/>
            <w:tcBorders>
              <w:top w:val="single" w:sz="4" w:space="0" w:color="auto"/>
              <w:left w:val="single" w:sz="4" w:space="0" w:color="auto"/>
            </w:tcBorders>
            <w:vAlign w:val="center"/>
          </w:tcPr>
          <w:p w:rsidR="007F3DF3" w:rsidRDefault="007F3DF3" w:rsidP="00E04220">
            <w:pPr>
              <w:pStyle w:val="Other0"/>
              <w:rPr>
                <w:sz w:val="20"/>
                <w:szCs w:val="20"/>
              </w:rPr>
            </w:pPr>
            <w:r>
              <w:rPr>
                <w:rStyle w:val="Other"/>
                <w:sz w:val="20"/>
                <w:szCs w:val="20"/>
              </w:rPr>
              <w:t>CİRO</w:t>
            </w:r>
          </w:p>
        </w:tc>
        <w:tc>
          <w:tcPr>
            <w:tcW w:w="3374"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2022 yılı cirosu (TL)</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1421" w:type="dxa"/>
            <w:vMerge/>
            <w:tcBorders>
              <w:left w:val="single" w:sz="4" w:space="0" w:color="auto"/>
            </w:tcBorders>
            <w:vAlign w:val="center"/>
          </w:tcPr>
          <w:p w:rsidR="007F3DF3" w:rsidRDefault="007F3DF3" w:rsidP="00E04220"/>
        </w:tc>
        <w:tc>
          <w:tcPr>
            <w:tcW w:w="3374"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2023 yılı cirosu (TL)</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1421" w:type="dxa"/>
            <w:vMerge/>
            <w:tcBorders>
              <w:left w:val="single" w:sz="4" w:space="0" w:color="auto"/>
            </w:tcBorders>
            <w:vAlign w:val="center"/>
          </w:tcPr>
          <w:p w:rsidR="007F3DF3" w:rsidRDefault="007F3DF3" w:rsidP="00E04220"/>
        </w:tc>
        <w:tc>
          <w:tcPr>
            <w:tcW w:w="3374"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2024 yılı cirosu (TL)</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1421" w:type="dxa"/>
            <w:vMerge w:val="restart"/>
            <w:tcBorders>
              <w:top w:val="single" w:sz="4" w:space="0" w:color="auto"/>
              <w:left w:val="single" w:sz="4" w:space="0" w:color="auto"/>
            </w:tcBorders>
            <w:vAlign w:val="center"/>
          </w:tcPr>
          <w:p w:rsidR="007F3DF3" w:rsidRDefault="007F3DF3" w:rsidP="00E04220">
            <w:pPr>
              <w:pStyle w:val="Other0"/>
              <w:rPr>
                <w:sz w:val="20"/>
                <w:szCs w:val="20"/>
              </w:rPr>
            </w:pPr>
            <w:r>
              <w:rPr>
                <w:rStyle w:val="Other"/>
                <w:sz w:val="20"/>
                <w:szCs w:val="20"/>
              </w:rPr>
              <w:t>İhracat Miktarı</w:t>
            </w:r>
          </w:p>
        </w:tc>
        <w:tc>
          <w:tcPr>
            <w:tcW w:w="3374"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2022 yılı ihracat miktarı (TL/USD)</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1421" w:type="dxa"/>
            <w:vMerge/>
            <w:tcBorders>
              <w:left w:val="single" w:sz="4" w:space="0" w:color="auto"/>
            </w:tcBorders>
            <w:vAlign w:val="center"/>
          </w:tcPr>
          <w:p w:rsidR="007F3DF3" w:rsidRDefault="007F3DF3" w:rsidP="00E04220"/>
        </w:tc>
        <w:tc>
          <w:tcPr>
            <w:tcW w:w="3374"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2023 yılı ihracat miktarı (TL/USD)</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1421" w:type="dxa"/>
            <w:vMerge/>
            <w:tcBorders>
              <w:left w:val="single" w:sz="4" w:space="0" w:color="auto"/>
            </w:tcBorders>
            <w:vAlign w:val="center"/>
          </w:tcPr>
          <w:p w:rsidR="007F3DF3" w:rsidRDefault="007F3DF3" w:rsidP="00E04220"/>
        </w:tc>
        <w:tc>
          <w:tcPr>
            <w:tcW w:w="3374" w:type="dxa"/>
            <w:gridSpan w:val="3"/>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2024 yılı ihracat miktarı (TL/USD)</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50"/>
        </w:trPr>
        <w:tc>
          <w:tcPr>
            <w:tcW w:w="9763" w:type="dxa"/>
            <w:gridSpan w:val="5"/>
            <w:tcBorders>
              <w:top w:val="single" w:sz="4" w:space="0" w:color="auto"/>
              <w:left w:val="single" w:sz="4" w:space="0" w:color="auto"/>
              <w:right w:val="single" w:sz="4" w:space="0" w:color="auto"/>
            </w:tcBorders>
          </w:tcPr>
          <w:p w:rsidR="007F3DF3" w:rsidRDefault="007F3DF3" w:rsidP="00E04220">
            <w:pPr>
              <w:pStyle w:val="Other0"/>
              <w:rPr>
                <w:sz w:val="20"/>
                <w:szCs w:val="20"/>
              </w:rPr>
            </w:pPr>
            <w:r>
              <w:rPr>
                <w:rStyle w:val="Other"/>
                <w:sz w:val="20"/>
                <w:szCs w:val="20"/>
              </w:rPr>
              <w:t>II- YATIRIM İLE İLGİLİ BİLGİLER</w:t>
            </w:r>
          </w:p>
        </w:tc>
      </w:tr>
      <w:tr w:rsidR="007F3DF3" w:rsidTr="00E04220">
        <w:trPr>
          <w:trHeight w:val="346"/>
        </w:trPr>
        <w:tc>
          <w:tcPr>
            <w:tcW w:w="4795" w:type="dxa"/>
            <w:gridSpan w:val="4"/>
            <w:tcBorders>
              <w:top w:val="single" w:sz="4" w:space="0" w:color="auto"/>
              <w:left w:val="single" w:sz="4" w:space="0" w:color="auto"/>
            </w:tcBorders>
            <w:vAlign w:val="center"/>
          </w:tcPr>
          <w:p w:rsidR="007F3DF3" w:rsidRDefault="007F3DF3" w:rsidP="00E04220">
            <w:pPr>
              <w:pStyle w:val="Other0"/>
              <w:rPr>
                <w:sz w:val="20"/>
                <w:szCs w:val="20"/>
              </w:rPr>
            </w:pPr>
            <w:r>
              <w:rPr>
                <w:rStyle w:val="Other"/>
                <w:sz w:val="20"/>
                <w:szCs w:val="20"/>
              </w:rPr>
              <w:t>Yatırımın sektörü ve konusu</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4795" w:type="dxa"/>
            <w:gridSpan w:val="4"/>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Öngörülen kapalı alan (m2)</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4795" w:type="dxa"/>
            <w:gridSpan w:val="4"/>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Öngörülen istihdam sayısı (kişi)</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4795" w:type="dxa"/>
            <w:gridSpan w:val="4"/>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Öngörülen aylık elektrik tüketimi (kWh/ay)</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50"/>
        </w:trPr>
        <w:tc>
          <w:tcPr>
            <w:tcW w:w="4795" w:type="dxa"/>
            <w:gridSpan w:val="4"/>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Öngörülen aylık su tüketimi (m3/ay)</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1"/>
        </w:trPr>
        <w:tc>
          <w:tcPr>
            <w:tcW w:w="4795" w:type="dxa"/>
            <w:gridSpan w:val="4"/>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Öngörülen Günlük Atıksu Debisi (m3/gün)</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50"/>
        </w:trPr>
        <w:tc>
          <w:tcPr>
            <w:tcW w:w="4795" w:type="dxa"/>
            <w:gridSpan w:val="4"/>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Öngörülen yıllık doğalgaz tüketimi (m3/ay)</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346"/>
        </w:trPr>
        <w:tc>
          <w:tcPr>
            <w:tcW w:w="4795" w:type="dxa"/>
            <w:gridSpan w:val="4"/>
            <w:tcBorders>
              <w:top w:val="single" w:sz="4" w:space="0" w:color="auto"/>
              <w:left w:val="single" w:sz="4" w:space="0" w:color="auto"/>
            </w:tcBorders>
            <w:vAlign w:val="bottom"/>
          </w:tcPr>
          <w:p w:rsidR="007F3DF3" w:rsidRDefault="007F3DF3" w:rsidP="00E04220">
            <w:pPr>
              <w:pStyle w:val="Other0"/>
              <w:rPr>
                <w:sz w:val="20"/>
                <w:szCs w:val="20"/>
              </w:rPr>
            </w:pPr>
            <w:r>
              <w:rPr>
                <w:rStyle w:val="Other"/>
                <w:sz w:val="20"/>
                <w:szCs w:val="20"/>
              </w:rPr>
              <w:t>Sabit yatırım tutarı (TL/USD)</w:t>
            </w:r>
          </w:p>
        </w:tc>
        <w:tc>
          <w:tcPr>
            <w:tcW w:w="4968" w:type="dxa"/>
            <w:tcBorders>
              <w:top w:val="single" w:sz="4" w:space="0" w:color="auto"/>
              <w:left w:val="single" w:sz="4" w:space="0" w:color="auto"/>
              <w:right w:val="single" w:sz="4" w:space="0" w:color="auto"/>
            </w:tcBorders>
          </w:tcPr>
          <w:p w:rsidR="007F3DF3" w:rsidRDefault="007F3DF3" w:rsidP="00E04220">
            <w:pPr>
              <w:rPr>
                <w:sz w:val="10"/>
                <w:szCs w:val="10"/>
              </w:rPr>
            </w:pPr>
          </w:p>
        </w:tc>
      </w:tr>
      <w:tr w:rsidR="007F3DF3" w:rsidTr="00E04220">
        <w:trPr>
          <w:trHeight w:val="1205"/>
        </w:trPr>
        <w:tc>
          <w:tcPr>
            <w:tcW w:w="9763" w:type="dxa"/>
            <w:gridSpan w:val="5"/>
            <w:tcBorders>
              <w:top w:val="single" w:sz="4" w:space="0" w:color="auto"/>
              <w:left w:val="single" w:sz="4" w:space="0" w:color="auto"/>
              <w:right w:val="single" w:sz="4" w:space="0" w:color="auto"/>
            </w:tcBorders>
            <w:vAlign w:val="center"/>
          </w:tcPr>
          <w:p w:rsidR="007F3DF3" w:rsidRDefault="007F3DF3" w:rsidP="00E04220">
            <w:pPr>
              <w:pStyle w:val="Other0"/>
              <w:ind w:firstLine="360"/>
              <w:rPr>
                <w:sz w:val="20"/>
                <w:szCs w:val="20"/>
              </w:rPr>
            </w:pPr>
            <w:r w:rsidRPr="00D95F2D">
              <w:rPr>
                <w:rFonts w:eastAsia="Microsoft Sans Serif"/>
                <w:i/>
              </w:rPr>
              <w:t>Isparta-Yalvaç</w:t>
            </w:r>
            <w:r>
              <w:rPr>
                <w:rStyle w:val="Other"/>
                <w:i/>
                <w:iCs/>
                <w:sz w:val="20"/>
                <w:szCs w:val="20"/>
              </w:rPr>
              <w:t xml:space="preserve"> Organize Sanayi Bölgesi içerisinde yatırım yapmak isteyen şirketimizin, vermiş olduğu bilgilerin doğruluğunu beyan eder, OSB kanunu ve ilgili mevzuatlar kapsamında şirketimize düşen bütün sorumlulukları yerine getireceğimizi taahhüt ederiz.</w:t>
            </w:r>
          </w:p>
        </w:tc>
      </w:tr>
      <w:tr w:rsidR="007F3DF3" w:rsidTr="00E04220">
        <w:trPr>
          <w:trHeight w:val="1430"/>
        </w:trPr>
        <w:tc>
          <w:tcPr>
            <w:tcW w:w="9763" w:type="dxa"/>
            <w:gridSpan w:val="5"/>
            <w:tcBorders>
              <w:top w:val="single" w:sz="4" w:space="0" w:color="auto"/>
              <w:left w:val="single" w:sz="4" w:space="0" w:color="auto"/>
              <w:bottom w:val="single" w:sz="4" w:space="0" w:color="auto"/>
              <w:right w:val="single" w:sz="4" w:space="0" w:color="auto"/>
            </w:tcBorders>
          </w:tcPr>
          <w:p w:rsidR="007F3DF3" w:rsidRDefault="007F3DF3" w:rsidP="00E04220">
            <w:pPr>
              <w:pStyle w:val="Other0"/>
              <w:rPr>
                <w:sz w:val="20"/>
                <w:szCs w:val="20"/>
              </w:rPr>
            </w:pPr>
            <w:r>
              <w:rPr>
                <w:rStyle w:val="Other"/>
                <w:sz w:val="20"/>
                <w:szCs w:val="20"/>
              </w:rPr>
              <w:t>Temsil ve ilzama yetkili kişilerin imza ve kaşeleri</w:t>
            </w:r>
          </w:p>
        </w:tc>
      </w:tr>
    </w:tbl>
    <w:p w:rsidR="007F3DF3" w:rsidRDefault="007F3DF3" w:rsidP="007F3DF3">
      <w:pPr>
        <w:sectPr w:rsidR="007F3DF3">
          <w:headerReference w:type="default" r:id="rId8"/>
          <w:footerReference w:type="default" r:id="rId9"/>
          <w:pgSz w:w="11909" w:h="16840"/>
          <w:pgMar w:top="2156" w:right="735" w:bottom="1666" w:left="1409" w:header="0" w:footer="3" w:gutter="0"/>
          <w:cols w:space="720"/>
          <w:noEndnote/>
          <w:docGrid w:linePitch="360"/>
        </w:sectPr>
      </w:pPr>
    </w:p>
    <w:p w:rsidR="007F3DF3" w:rsidRPr="007F3DF3" w:rsidRDefault="007F3DF3" w:rsidP="007F3DF3">
      <w:pPr>
        <w:pStyle w:val="GvdeMetni"/>
        <w:jc w:val="center"/>
        <w:rPr>
          <w:rStyle w:val="GvdeMetniChar"/>
          <w:b/>
          <w:u w:val="single"/>
        </w:rPr>
      </w:pPr>
      <w:r w:rsidRPr="007F3DF3">
        <w:rPr>
          <w:rStyle w:val="GvdeMetniChar"/>
          <w:b/>
          <w:u w:val="single"/>
        </w:rPr>
        <w:lastRenderedPageBreak/>
        <w:t>TAAHHÜTNAME</w:t>
      </w:r>
    </w:p>
    <w:p w:rsidR="007F3DF3" w:rsidRDefault="007F3DF3" w:rsidP="007F3DF3">
      <w:pPr>
        <w:pStyle w:val="GvdeMetni"/>
        <w:jc w:val="center"/>
      </w:pPr>
    </w:p>
    <w:p w:rsidR="007F3DF3" w:rsidRDefault="007F3DF3" w:rsidP="007F3DF3">
      <w:pPr>
        <w:pStyle w:val="GvdeMetni"/>
        <w:numPr>
          <w:ilvl w:val="0"/>
          <w:numId w:val="5"/>
        </w:numPr>
        <w:tabs>
          <w:tab w:val="left" w:pos="680"/>
        </w:tabs>
        <w:ind w:firstLine="360"/>
        <w:rPr>
          <w:rStyle w:val="GvdeMetniChar"/>
        </w:rPr>
      </w:pPr>
      <w:r>
        <w:rPr>
          <w:rStyle w:val="GvdeMetniChar"/>
        </w:rPr>
        <w:t xml:space="preserve">../…/202.. tarihli ihale sonucu </w:t>
      </w:r>
      <w:r w:rsidRPr="00D95F2D">
        <w:rPr>
          <w:rFonts w:eastAsia="Microsoft Sans Serif"/>
        </w:rPr>
        <w:t>Isparta-Yalvaç</w:t>
      </w:r>
      <w:r>
        <w:rPr>
          <w:rStyle w:val="GvdeMetniChar"/>
        </w:rPr>
        <w:t xml:space="preserve"> Organize Sanayi Bölgesi tarafından tarafımıza tahsisi yapılacak arsa için;</w:t>
      </w:r>
    </w:p>
    <w:p w:rsidR="007F3DF3" w:rsidRDefault="007F3DF3" w:rsidP="007F3DF3">
      <w:pPr>
        <w:pStyle w:val="GvdeMetni"/>
        <w:tabs>
          <w:tab w:val="left" w:pos="680"/>
        </w:tabs>
        <w:ind w:left="360"/>
      </w:pPr>
    </w:p>
    <w:p w:rsidR="007F3DF3" w:rsidRDefault="007F3DF3" w:rsidP="007F3DF3">
      <w:pPr>
        <w:pStyle w:val="GvdeMetni"/>
        <w:numPr>
          <w:ilvl w:val="0"/>
          <w:numId w:val="5"/>
        </w:numPr>
        <w:tabs>
          <w:tab w:val="left" w:pos="988"/>
        </w:tabs>
        <w:ind w:firstLine="360"/>
        <w:rPr>
          <w:rStyle w:val="GvdeMetniChar"/>
        </w:rPr>
      </w:pPr>
      <w:r>
        <w:rPr>
          <w:rStyle w:val="GvdeMetniChar"/>
        </w:rPr>
        <w:t>OSB Uygulama Yönetmeliğinin 55/1 maddesi gereği talepte bulunduğum sanayi parselinin henüz altyapısının tamamlanmamış olmasına rağmen aynı yönetmeliğin 60.ıncı maddesinde belirtilen sürelere uyacağımıza muvafakat ediyorum.</w:t>
      </w:r>
    </w:p>
    <w:p w:rsidR="007F3DF3" w:rsidRDefault="007F3DF3" w:rsidP="007F3DF3">
      <w:pPr>
        <w:pStyle w:val="ListeParagraf"/>
      </w:pPr>
    </w:p>
    <w:p w:rsidR="007F3DF3" w:rsidRDefault="007F3DF3" w:rsidP="007F3DF3">
      <w:pPr>
        <w:pStyle w:val="GvdeMetni"/>
        <w:tabs>
          <w:tab w:val="left" w:pos="988"/>
        </w:tabs>
        <w:ind w:left="360"/>
      </w:pPr>
    </w:p>
    <w:p w:rsidR="007F3DF3" w:rsidRDefault="007F3DF3" w:rsidP="007F3DF3">
      <w:pPr>
        <w:pStyle w:val="GvdeMetni"/>
        <w:numPr>
          <w:ilvl w:val="0"/>
          <w:numId w:val="5"/>
        </w:numPr>
        <w:tabs>
          <w:tab w:val="left" w:pos="718"/>
        </w:tabs>
        <w:ind w:firstLine="360"/>
        <w:rPr>
          <w:rStyle w:val="GvdeMetniChar"/>
        </w:rPr>
      </w:pPr>
      <w:r>
        <w:rPr>
          <w:rStyle w:val="GvdeMetniChar"/>
        </w:rPr>
        <w:t>Tahsis tarihinden itibaren 1 yıl içerisinde gerçekleştireceğim yapıya ait projeleri OSB’ye tasdik ettirerek yapı ruhsatını alacağımı,</w:t>
      </w:r>
    </w:p>
    <w:p w:rsidR="007F3DF3" w:rsidRDefault="007F3DF3" w:rsidP="007F3DF3">
      <w:pPr>
        <w:pStyle w:val="GvdeMetni"/>
        <w:tabs>
          <w:tab w:val="left" w:pos="718"/>
        </w:tabs>
        <w:ind w:left="360"/>
      </w:pPr>
    </w:p>
    <w:p w:rsidR="007F3DF3" w:rsidRDefault="007F3DF3" w:rsidP="007F3DF3">
      <w:pPr>
        <w:pStyle w:val="GvdeMetni"/>
        <w:numPr>
          <w:ilvl w:val="0"/>
          <w:numId w:val="5"/>
        </w:numPr>
        <w:tabs>
          <w:tab w:val="left" w:pos="728"/>
        </w:tabs>
        <w:ind w:firstLine="360"/>
        <w:rPr>
          <w:rStyle w:val="GvdeMetniChar"/>
        </w:rPr>
      </w:pPr>
      <w:r>
        <w:rPr>
          <w:rStyle w:val="GvdeMetniChar"/>
        </w:rPr>
        <w:t>Yapı ruhsatı aldığım tarihten itibaren 2 yıl içerisinde inşaatı tamamlayarak ve üretime geçerek iş yeri açma ve çalışma ruhsatını alacağımı,</w:t>
      </w:r>
    </w:p>
    <w:p w:rsidR="007F3DF3" w:rsidRDefault="007F3DF3" w:rsidP="007F3DF3">
      <w:pPr>
        <w:pStyle w:val="GvdeMetni"/>
        <w:tabs>
          <w:tab w:val="left" w:pos="728"/>
        </w:tabs>
        <w:ind w:left="360"/>
      </w:pPr>
    </w:p>
    <w:p w:rsidR="007F3DF3" w:rsidRDefault="007F3DF3" w:rsidP="007F3DF3">
      <w:pPr>
        <w:pStyle w:val="GvdeMetni"/>
        <w:tabs>
          <w:tab w:val="left" w:pos="988"/>
        </w:tabs>
        <w:spacing w:line="221" w:lineRule="auto"/>
        <w:rPr>
          <w:rStyle w:val="GvdeMetniChar"/>
        </w:rPr>
      </w:pPr>
      <w:r>
        <w:rPr>
          <w:rStyle w:val="GvdeMetniChar"/>
        </w:rPr>
        <w:tab/>
        <w:t xml:space="preserve">-Kuracağım tesisin </w:t>
      </w:r>
      <w:r w:rsidRPr="00D95F2D">
        <w:rPr>
          <w:rFonts w:eastAsia="Microsoft Sans Serif"/>
        </w:rPr>
        <w:t>Isparta-Yalvaç</w:t>
      </w:r>
      <w:r>
        <w:rPr>
          <w:rStyle w:val="GvdeMetniChar"/>
        </w:rPr>
        <w:t xml:space="preserve"> OSB’de kurulamayacak tesisler kapsamında olmayacağını,</w:t>
      </w:r>
    </w:p>
    <w:p w:rsidR="007F3DF3" w:rsidRDefault="007F3DF3" w:rsidP="007F3DF3">
      <w:pPr>
        <w:pStyle w:val="GvdeMetni"/>
        <w:tabs>
          <w:tab w:val="left" w:pos="988"/>
        </w:tabs>
        <w:spacing w:line="221" w:lineRule="auto"/>
        <w:ind w:left="360"/>
      </w:pPr>
    </w:p>
    <w:p w:rsidR="007F3DF3" w:rsidRDefault="007F3DF3" w:rsidP="007F3DF3">
      <w:pPr>
        <w:pStyle w:val="GvdeMetni"/>
        <w:numPr>
          <w:ilvl w:val="0"/>
          <w:numId w:val="5"/>
        </w:numPr>
        <w:tabs>
          <w:tab w:val="left" w:pos="728"/>
        </w:tabs>
        <w:ind w:firstLine="360"/>
      </w:pPr>
      <w:r>
        <w:rPr>
          <w:rStyle w:val="GvdeMetniChar"/>
        </w:rPr>
        <w:t xml:space="preserve">Belirtilen şartlara uymadığım takdirde hiçbir ihtara gerek kalmaksızın, arsayı üzerindeki mevcut yapılarla birlikte </w:t>
      </w:r>
      <w:r w:rsidRPr="00D95F2D">
        <w:rPr>
          <w:rFonts w:eastAsia="Microsoft Sans Serif"/>
        </w:rPr>
        <w:t>Isparta-Yalvaç</w:t>
      </w:r>
      <w:r>
        <w:rPr>
          <w:rStyle w:val="GvdeMetniChar"/>
        </w:rPr>
        <w:t xml:space="preserve"> Organize Sanayi Bölgesine geri vereceğimi, arsa bedeli olarak o güne kadar ödediğim miktar dışında herhangi bir bedel talep etmeyeceğimi, üzerindeki yapı bedeli olarak da tespit edilecek miktarın dışında herhangi bir bedel talep etmeyeceğimizi</w:t>
      </w:r>
    </w:p>
    <w:p w:rsidR="007F3DF3" w:rsidRDefault="007F3DF3" w:rsidP="007F3DF3">
      <w:pPr>
        <w:pStyle w:val="GvdeMetni"/>
        <w:rPr>
          <w:rStyle w:val="GvdeMetniChar"/>
          <w:lang w:val="en-US"/>
        </w:rPr>
      </w:pPr>
    </w:p>
    <w:p w:rsidR="007F3DF3" w:rsidRDefault="007F3DF3" w:rsidP="007F3DF3">
      <w:pPr>
        <w:pStyle w:val="GvdeMetni"/>
        <w:rPr>
          <w:rStyle w:val="GvdeMetniChar"/>
          <w:lang w:val="en-US"/>
        </w:rPr>
      </w:pPr>
    </w:p>
    <w:p w:rsidR="007F3DF3" w:rsidRDefault="007F3DF3" w:rsidP="007F3DF3">
      <w:pPr>
        <w:pStyle w:val="GvdeMetni"/>
        <w:rPr>
          <w:rStyle w:val="GvdeMetniChar"/>
          <w:lang w:val="en-US"/>
        </w:rPr>
      </w:pPr>
    </w:p>
    <w:p w:rsidR="007F3DF3" w:rsidRDefault="007F3DF3" w:rsidP="007F3DF3">
      <w:pPr>
        <w:pStyle w:val="GvdeMetni"/>
        <w:rPr>
          <w:rStyle w:val="GvdeMetniChar"/>
          <w:lang w:val="en-US"/>
        </w:rPr>
      </w:pPr>
    </w:p>
    <w:p w:rsidR="007F3DF3" w:rsidRDefault="007F3DF3" w:rsidP="007F3DF3">
      <w:pPr>
        <w:pStyle w:val="GvdeMetni"/>
        <w:rPr>
          <w:rStyle w:val="GvdeMetniChar"/>
          <w:lang w:val="en-US"/>
        </w:rPr>
      </w:pPr>
    </w:p>
    <w:p w:rsidR="007F3DF3" w:rsidRDefault="007F3DF3" w:rsidP="007F3DF3">
      <w:pPr>
        <w:pStyle w:val="GvdeMetni"/>
      </w:pPr>
      <w:r>
        <w:rPr>
          <w:rStyle w:val="GvdeMetniChar"/>
          <w:lang w:val="en-US"/>
        </w:rPr>
        <w:t xml:space="preserve">Kabul ve </w:t>
      </w:r>
      <w:r>
        <w:rPr>
          <w:rStyle w:val="GvdeMetniChar"/>
          <w:lang w:val="de-DE" w:eastAsia="de-DE"/>
        </w:rPr>
        <w:t xml:space="preserve">taahhüt </w:t>
      </w:r>
      <w:r>
        <w:rPr>
          <w:rStyle w:val="GvdeMetniChar"/>
          <w:lang w:val="en-US"/>
        </w:rPr>
        <w:t>ederiz.</w:t>
      </w:r>
    </w:p>
    <w:p w:rsidR="007F3DF3" w:rsidRDefault="007F3DF3" w:rsidP="007F3DF3">
      <w:pPr>
        <w:pStyle w:val="GvdeMetni"/>
        <w:rPr>
          <w:rStyle w:val="GvdeMetniChar"/>
          <w:lang w:val="en-US"/>
        </w:rPr>
      </w:pPr>
    </w:p>
    <w:p w:rsidR="007F3DF3" w:rsidRDefault="007F3DF3" w:rsidP="007F3DF3">
      <w:pPr>
        <w:pStyle w:val="GvdeMetni"/>
      </w:pPr>
      <w:r>
        <w:rPr>
          <w:rStyle w:val="GvdeMetniChar"/>
          <w:lang w:val="en-US"/>
        </w:rPr>
        <w:t>Ad-Soyad :</w:t>
      </w:r>
    </w:p>
    <w:p w:rsidR="007F3DF3" w:rsidRDefault="007F3DF3" w:rsidP="007F3DF3">
      <w:pPr>
        <w:pStyle w:val="GvdeMetni"/>
        <w:rPr>
          <w:rStyle w:val="GvdeMetniChar"/>
        </w:rPr>
      </w:pPr>
    </w:p>
    <w:p w:rsidR="007F3DF3" w:rsidRDefault="007F3DF3" w:rsidP="007F3DF3">
      <w:pPr>
        <w:pStyle w:val="GvdeMetni"/>
      </w:pPr>
      <w:r>
        <w:rPr>
          <w:rStyle w:val="GvdeMetniChar"/>
        </w:rPr>
        <w:t>İmza</w:t>
      </w:r>
    </w:p>
    <w:p w:rsidR="007F3DF3" w:rsidRDefault="007F3DF3" w:rsidP="007F3DF3">
      <w:pPr>
        <w:pStyle w:val="GvdeMetni"/>
        <w:rPr>
          <w:rStyle w:val="GvdeMetniChar"/>
        </w:rPr>
      </w:pPr>
    </w:p>
    <w:p w:rsidR="007F3DF3" w:rsidRDefault="007F3DF3" w:rsidP="007F3DF3">
      <w:pPr>
        <w:pStyle w:val="GvdeMetni"/>
      </w:pPr>
      <w:r>
        <w:rPr>
          <w:rStyle w:val="GvdeMetniChar"/>
        </w:rPr>
        <w:t>Açık Adresi</w:t>
      </w:r>
    </w:p>
    <w:p w:rsidR="007F3DF3" w:rsidRDefault="007F3DF3" w:rsidP="007F3DF3">
      <w:pPr>
        <w:pStyle w:val="GvdeMetni"/>
        <w:rPr>
          <w:rStyle w:val="GvdeMetniChar"/>
          <w:lang w:val="de-DE" w:eastAsia="de-DE"/>
        </w:rPr>
      </w:pPr>
    </w:p>
    <w:p w:rsidR="007F3DF3" w:rsidRDefault="007F3DF3" w:rsidP="007F3DF3">
      <w:pPr>
        <w:pStyle w:val="GvdeMetni"/>
      </w:pPr>
      <w:r>
        <w:rPr>
          <w:rStyle w:val="GvdeMetniChar"/>
          <w:lang w:val="de-DE" w:eastAsia="de-DE"/>
        </w:rPr>
        <w:t>Telefon ve Faks No:</w:t>
      </w: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bookmarkStart w:id="0" w:name="_GoBack"/>
      <w:bookmarkEnd w:id="0"/>
    </w:p>
    <w:p w:rsidR="007F3DF3" w:rsidRDefault="007F3DF3" w:rsidP="007F3DF3">
      <w:pPr>
        <w:pStyle w:val="GvdeMetni"/>
        <w:rPr>
          <w:rStyle w:val="GvdeMetniChar"/>
          <w:rFonts w:eastAsia="Calibri"/>
        </w:rPr>
      </w:pPr>
    </w:p>
    <w:p w:rsidR="007F3DF3" w:rsidRDefault="007F3DF3" w:rsidP="007F3DF3">
      <w:pPr>
        <w:pStyle w:val="GvdeMetni"/>
        <w:rPr>
          <w:rStyle w:val="GvdeMetniChar"/>
          <w:rFonts w:eastAsia="Calibri"/>
        </w:rPr>
      </w:pPr>
    </w:p>
    <w:p w:rsidR="007F3DF3" w:rsidRDefault="007F3DF3" w:rsidP="007F3DF3">
      <w:pPr>
        <w:pStyle w:val="GvdeMetni"/>
        <w:rPr>
          <w:rStyle w:val="GvdeMetniChar"/>
        </w:rPr>
      </w:pPr>
    </w:p>
    <w:p w:rsidR="007F3DF3" w:rsidRDefault="007F3DF3" w:rsidP="007F3DF3">
      <w:pPr>
        <w:pStyle w:val="GvdeMetni"/>
        <w:rPr>
          <w:rStyle w:val="GvdeMetniChar"/>
        </w:rPr>
      </w:pPr>
    </w:p>
    <w:p w:rsidR="007F3DF3" w:rsidRPr="00E61446" w:rsidRDefault="007F3DF3" w:rsidP="007F3DF3">
      <w:pPr>
        <w:pStyle w:val="GvdeMetni"/>
        <w:jc w:val="center"/>
        <w:rPr>
          <w:b/>
        </w:rPr>
      </w:pPr>
      <w:r>
        <w:rPr>
          <w:rFonts w:eastAsia="Microsoft Sans Serif"/>
          <w:b/>
        </w:rPr>
        <w:t>ISPARTA-YALVAÇ</w:t>
      </w:r>
      <w:r w:rsidRPr="00E61446">
        <w:rPr>
          <w:rStyle w:val="GvdeMetniChar"/>
          <w:b/>
        </w:rPr>
        <w:t xml:space="preserve"> OSB’DE KURULAMAYACAK TESİSLER</w:t>
      </w:r>
    </w:p>
    <w:p w:rsidR="007F3DF3" w:rsidRDefault="007F3DF3" w:rsidP="007F3DF3">
      <w:pPr>
        <w:pStyle w:val="GvdeMetni"/>
      </w:pPr>
      <w:r w:rsidRPr="00D95F2D">
        <w:rPr>
          <w:rFonts w:eastAsia="Microsoft Sans Serif"/>
        </w:rPr>
        <w:t>Isparta-Yalvaç</w:t>
      </w:r>
      <w:r>
        <w:rPr>
          <w:rStyle w:val="GvdeMetniChar"/>
        </w:rPr>
        <w:t xml:space="preserve"> OSB’de aşağıdaki tesisler kurulamaz:</w:t>
      </w:r>
    </w:p>
    <w:p w:rsidR="007F3DF3" w:rsidRDefault="007F3DF3" w:rsidP="007F3DF3">
      <w:pPr>
        <w:pStyle w:val="GvdeMetni"/>
      </w:pPr>
      <w:r w:rsidRPr="00D95F2D">
        <w:rPr>
          <w:rFonts w:eastAsia="Microsoft Sans Serif"/>
        </w:rPr>
        <w:t>Isparta-Yalvaç</w:t>
      </w:r>
      <w:r>
        <w:rPr>
          <w:rStyle w:val="GvdeMetniChar"/>
        </w:rPr>
        <w:t xml:space="preserve"> Organize Sanayi Bölgesinde, aşağıdaki tesisler kurulamaz:</w:t>
      </w:r>
    </w:p>
    <w:p w:rsidR="007F3DF3" w:rsidRDefault="007F3DF3" w:rsidP="007F3DF3">
      <w:pPr>
        <w:pStyle w:val="GvdeMetni"/>
        <w:numPr>
          <w:ilvl w:val="0"/>
          <w:numId w:val="6"/>
        </w:numPr>
        <w:tabs>
          <w:tab w:val="left" w:pos="705"/>
        </w:tabs>
        <w:ind w:firstLine="360"/>
      </w:pPr>
      <w:r>
        <w:rPr>
          <w:rStyle w:val="GvdeMetniChar"/>
        </w:rPr>
        <w:t>Ham petrol rafinerileri,</w:t>
      </w:r>
    </w:p>
    <w:p w:rsidR="007F3DF3" w:rsidRDefault="007F3DF3" w:rsidP="007F3DF3">
      <w:pPr>
        <w:pStyle w:val="GvdeMetni"/>
        <w:numPr>
          <w:ilvl w:val="0"/>
          <w:numId w:val="6"/>
        </w:numPr>
        <w:tabs>
          <w:tab w:val="left" w:pos="739"/>
        </w:tabs>
        <w:ind w:firstLine="360"/>
      </w:pPr>
      <w:r>
        <w:rPr>
          <w:rStyle w:val="GvdeMetniChar"/>
        </w:rPr>
        <w:t>Kömür veya bitümlü şistin sıvılaştırıldığı ve gazlaştırıldığı tesisler ile asfalt plent tesisleri,</w:t>
      </w:r>
    </w:p>
    <w:p w:rsidR="007F3DF3" w:rsidRDefault="007F3DF3" w:rsidP="007F3DF3">
      <w:pPr>
        <w:pStyle w:val="GvdeMetni"/>
        <w:numPr>
          <w:ilvl w:val="0"/>
          <w:numId w:val="6"/>
        </w:numPr>
        <w:tabs>
          <w:tab w:val="left" w:pos="684"/>
        </w:tabs>
        <w:ind w:firstLine="360"/>
      </w:pPr>
      <w:r>
        <w:rPr>
          <w:rStyle w:val="GvdeMetniChar"/>
        </w:rPr>
        <w:t>Sıvılaştırılmış petrol gazı dolum ve depolama tesisleri,</w:t>
      </w:r>
    </w:p>
    <w:p w:rsidR="007F3DF3" w:rsidRDefault="007F3DF3" w:rsidP="007F3DF3">
      <w:pPr>
        <w:pStyle w:val="GvdeMetni"/>
        <w:numPr>
          <w:ilvl w:val="0"/>
          <w:numId w:val="6"/>
        </w:numPr>
        <w:tabs>
          <w:tab w:val="left" w:pos="689"/>
        </w:tabs>
        <w:ind w:firstLine="360"/>
      </w:pPr>
      <w:r>
        <w:rPr>
          <w:rStyle w:val="GvdeMetniChar"/>
        </w:rPr>
        <w:t>Çimento fabrikaları, beton santralleri, çimento klingeri üreten tesisler,</w:t>
      </w:r>
    </w:p>
    <w:p w:rsidR="007F3DF3" w:rsidRDefault="007F3DF3" w:rsidP="007F3DF3">
      <w:pPr>
        <w:pStyle w:val="GvdeMetni"/>
        <w:numPr>
          <w:ilvl w:val="0"/>
          <w:numId w:val="6"/>
        </w:numPr>
        <w:tabs>
          <w:tab w:val="left" w:pos="684"/>
        </w:tabs>
        <w:ind w:firstLine="360"/>
      </w:pPr>
      <w:r>
        <w:rPr>
          <w:rStyle w:val="GvdeMetniChar"/>
        </w:rPr>
        <w:t>Nükleer güç santralleri ile diğer nükleer reaktörler,</w:t>
      </w:r>
    </w:p>
    <w:p w:rsidR="007F3DF3" w:rsidRDefault="007F3DF3" w:rsidP="007F3DF3">
      <w:pPr>
        <w:pStyle w:val="GvdeMetni"/>
        <w:numPr>
          <w:ilvl w:val="0"/>
          <w:numId w:val="6"/>
        </w:numPr>
        <w:tabs>
          <w:tab w:val="left" w:pos="684"/>
        </w:tabs>
        <w:ind w:firstLine="360"/>
      </w:pPr>
      <w:r>
        <w:rPr>
          <w:rStyle w:val="GvdeMetniChar"/>
        </w:rPr>
        <w:t>Radyoaktif atıkların depolanması, bertarafı ve işlenerek ara/nihai ürüne dönüştürülmesi amacıyla projelendirilen tesisler ve benzeri radyoaktif atık tesisleri, 7) Nükleer yakıtların üretilmesi veya zenginleştirilmesi ile ilgili tesisler,</w:t>
      </w:r>
    </w:p>
    <w:p w:rsidR="007F3DF3" w:rsidRDefault="007F3DF3" w:rsidP="007F3DF3">
      <w:pPr>
        <w:pStyle w:val="GvdeMetni"/>
        <w:numPr>
          <w:ilvl w:val="0"/>
          <w:numId w:val="7"/>
        </w:numPr>
        <w:tabs>
          <w:tab w:val="left" w:pos="684"/>
        </w:tabs>
        <w:ind w:firstLine="360"/>
      </w:pPr>
      <w:r>
        <w:rPr>
          <w:rStyle w:val="GvdeMetniChar"/>
        </w:rPr>
        <w:t>Endüstriyel nitelikli, sintine ve benzeri atık suların geri kazanım tesisleri,</w:t>
      </w:r>
    </w:p>
    <w:p w:rsidR="007F3DF3" w:rsidRDefault="007F3DF3" w:rsidP="007F3DF3">
      <w:pPr>
        <w:pStyle w:val="GvdeMetni"/>
        <w:numPr>
          <w:ilvl w:val="0"/>
          <w:numId w:val="7"/>
        </w:numPr>
        <w:tabs>
          <w:tab w:val="left" w:pos="689"/>
        </w:tabs>
        <w:ind w:firstLine="360"/>
      </w:pPr>
      <w:r>
        <w:rPr>
          <w:rStyle w:val="GvdeMetniChar"/>
        </w:rPr>
        <w:t>Parlayıcı/patlayıcı/yakıcı maddelerin üretildiği, depolandığı ve dolumunun yapıldığı tesisler,</w:t>
      </w:r>
    </w:p>
    <w:p w:rsidR="007F3DF3" w:rsidRDefault="007F3DF3" w:rsidP="007F3DF3">
      <w:pPr>
        <w:pStyle w:val="GvdeMetni"/>
        <w:numPr>
          <w:ilvl w:val="0"/>
          <w:numId w:val="7"/>
        </w:numPr>
        <w:tabs>
          <w:tab w:val="left" w:pos="815"/>
        </w:tabs>
        <w:ind w:firstLine="360"/>
      </w:pPr>
      <w:r>
        <w:rPr>
          <w:rStyle w:val="GvdeMetniChar"/>
        </w:rPr>
        <w:t>Petrokimya kompleksleri,</w:t>
      </w:r>
    </w:p>
    <w:p w:rsidR="007F3DF3" w:rsidRDefault="007F3DF3" w:rsidP="007F3DF3">
      <w:pPr>
        <w:pStyle w:val="GvdeMetni"/>
        <w:numPr>
          <w:ilvl w:val="0"/>
          <w:numId w:val="7"/>
        </w:numPr>
        <w:tabs>
          <w:tab w:val="left" w:pos="814"/>
        </w:tabs>
        <w:ind w:firstLine="360"/>
      </w:pPr>
      <w:r>
        <w:rPr>
          <w:rStyle w:val="GvdeMetniChar"/>
        </w:rPr>
        <w:t>Üretiminde kapalı proses, gaz veya sıvı yakıt ve toz kaynaklarında filtre sistemlerini kullanan tesisler hariç; tuğla ve kiremit fabrikaları, kömür yıkama kireç, alçı ve zımpara tesisleri,</w:t>
      </w:r>
    </w:p>
    <w:p w:rsidR="007F3DF3" w:rsidRDefault="007F3DF3" w:rsidP="007F3DF3">
      <w:pPr>
        <w:pStyle w:val="GvdeMetni"/>
        <w:numPr>
          <w:ilvl w:val="0"/>
          <w:numId w:val="7"/>
        </w:numPr>
        <w:tabs>
          <w:tab w:val="left" w:pos="819"/>
        </w:tabs>
        <w:ind w:firstLine="360"/>
      </w:pPr>
      <w:r>
        <w:rPr>
          <w:rStyle w:val="GvdeMetniChar"/>
        </w:rPr>
        <w:t>Klor-alkali tesisleri, sülfürik asit, fosforik asit, hidroklorik asit, klor ve benzeri kimyasal maddeler üreten yerler, azot sanayi ve bu sanayi ile entegre gübre fabrikaları,</w:t>
      </w:r>
    </w:p>
    <w:p w:rsidR="007F3DF3" w:rsidRDefault="007F3DF3" w:rsidP="007F3DF3">
      <w:pPr>
        <w:pStyle w:val="GvdeMetni"/>
        <w:numPr>
          <w:ilvl w:val="0"/>
          <w:numId w:val="7"/>
        </w:numPr>
        <w:tabs>
          <w:tab w:val="left" w:pos="815"/>
        </w:tabs>
        <w:ind w:firstLine="360"/>
      </w:pPr>
      <w:r>
        <w:rPr>
          <w:rStyle w:val="GvdeMetniChar"/>
        </w:rPr>
        <w:t>Asbest, asbest içeren ürünlerin işlenmesi veya dönüştürülmesi yapılan tesisler,</w:t>
      </w:r>
    </w:p>
    <w:p w:rsidR="007F3DF3" w:rsidRDefault="007F3DF3" w:rsidP="007F3DF3">
      <w:pPr>
        <w:pStyle w:val="GvdeMetni"/>
        <w:numPr>
          <w:ilvl w:val="0"/>
          <w:numId w:val="7"/>
        </w:numPr>
        <w:tabs>
          <w:tab w:val="left" w:pos="815"/>
        </w:tabs>
        <w:ind w:firstLine="360"/>
      </w:pPr>
      <w:r>
        <w:rPr>
          <w:rStyle w:val="GvdeMetniChar"/>
        </w:rPr>
        <w:t>Ham deri işleme, padok ve sadece hayvan kesimi yapılan tesisler,</w:t>
      </w:r>
    </w:p>
    <w:p w:rsidR="007F3DF3" w:rsidRDefault="007F3DF3" w:rsidP="007F3DF3">
      <w:pPr>
        <w:pStyle w:val="GvdeMetni"/>
        <w:numPr>
          <w:ilvl w:val="0"/>
          <w:numId w:val="7"/>
        </w:numPr>
        <w:tabs>
          <w:tab w:val="left" w:pos="811"/>
        </w:tabs>
        <w:ind w:firstLine="360"/>
      </w:pPr>
      <w:r>
        <w:rPr>
          <w:rStyle w:val="GvdeMetniChar"/>
        </w:rPr>
        <w:t>Hammadde alanları kapalı ve toz kaynaklarında filtre sistemlerini kullanan tesisler hariç; talk, barit, kalsit, antimuan ve benzeri madenlerin kırma ve öğütme tesisleri,</w:t>
      </w:r>
    </w:p>
    <w:p w:rsidR="007F3DF3" w:rsidRDefault="007F3DF3" w:rsidP="007F3DF3">
      <w:pPr>
        <w:pStyle w:val="GvdeMetni"/>
        <w:numPr>
          <w:ilvl w:val="0"/>
          <w:numId w:val="7"/>
        </w:numPr>
        <w:tabs>
          <w:tab w:val="left" w:pos="811"/>
        </w:tabs>
        <w:ind w:firstLine="360"/>
      </w:pPr>
      <w:r>
        <w:rPr>
          <w:rStyle w:val="GvdeMetniChar"/>
        </w:rPr>
        <w:t>Katı atık ayrıştırma tesisleri ve her türlü atığın nihai ve/veya ara depolanması ve/veya araziye gömülmesine ilişkin tesisler ile toksit, tıbbi ve tehlikeli atıkların yakılmak ve kimyasal yolla arıtılmak suretiyle berteraf edilmesine yönelik tesisler,</w:t>
      </w:r>
    </w:p>
    <w:p w:rsidR="007F3DF3" w:rsidRDefault="007F3DF3" w:rsidP="007F3DF3">
      <w:pPr>
        <w:pStyle w:val="GvdeMetni"/>
        <w:numPr>
          <w:ilvl w:val="0"/>
          <w:numId w:val="7"/>
        </w:numPr>
        <w:tabs>
          <w:tab w:val="left" w:pos="804"/>
        </w:tabs>
        <w:ind w:firstLine="360"/>
      </w:pPr>
      <w:r>
        <w:rPr>
          <w:rStyle w:val="GvdeMetniChar"/>
        </w:rPr>
        <w:t>Sanayi parselleri ile hizmet destek alanlarında katılımcının kendi ihtiyacı için kurulanlar hariç olmak üzere, güneş ve rüzgar enerjisine dayalı elektrik enerjisi üreten tesisler</w:t>
      </w:r>
    </w:p>
    <w:p w:rsidR="007F3DF3" w:rsidRDefault="007F3DF3" w:rsidP="007F3DF3">
      <w:pPr>
        <w:pStyle w:val="GvdeMetni"/>
        <w:numPr>
          <w:ilvl w:val="0"/>
          <w:numId w:val="7"/>
        </w:numPr>
        <w:tabs>
          <w:tab w:val="left" w:pos="815"/>
        </w:tabs>
        <w:ind w:firstLine="360"/>
      </w:pPr>
      <w:r>
        <w:rPr>
          <w:rStyle w:val="GvdeMetniChar"/>
        </w:rPr>
        <w:t>OSB kuruluş protokolünde, kurulamayacağı belirtilen tesisler.</w:t>
      </w:r>
    </w:p>
    <w:p w:rsidR="007F3DF3" w:rsidRDefault="007F3DF3" w:rsidP="007F3DF3">
      <w:pPr>
        <w:pStyle w:val="GvdeMetni"/>
      </w:pPr>
      <w:r>
        <w:rPr>
          <w:rStyle w:val="GvdeMetniChar"/>
        </w:rPr>
        <w:t>OSB'ye gelen tahsis talepleri değerlendirilirken Yönetim Kurulu; iş bu karar çerçevesinde kurulamayacak tesisler kapsamındaki talepleri, başkaca bir araştırma ve/veya değerlendirmeye gerek kalmaksızın reddeder.</w:t>
      </w:r>
    </w:p>
    <w:p w:rsidR="007F3DF3" w:rsidRDefault="007F3DF3" w:rsidP="007F3DF3">
      <w:pPr>
        <w:pStyle w:val="GvdeMetni"/>
        <w:ind w:firstLine="360"/>
      </w:pPr>
      <w:r>
        <w:rPr>
          <w:rStyle w:val="GvdeMetniChar"/>
        </w:rPr>
        <w:t>Bu madde kapsamında olmamakla birlikte, kurulacak tesisin altyapı ve atık su arıtma tesislerine etkisi, debi ve arıtma kapasitesine uygunluğu, herhangi bir olumsuzluk anında tetikleyici etkisi, insanların çalışma ve yaşam koşullarına etkisi ve planlama bütünlüğü gibi hususlar dikkate alınarak OSB’de kurulmasında sakınca olabileceği düşünülen tesisler için tahsis talebinde bulunulması halinde; Yönetim Kurulu, konu ile ilgili kurum ve kuruluşlardan alacağı görüş veya raporlar çerçevesinde kurulmasında sakınca olmadığı kanaatine ulaştığı tesisler için, yürürlükteki çevre mevzuatı hükümlerinin yerine getirilmesi ve diğer katılımcıların faaliyetlerini olumsuz etkilememesine yönelik olarak belirleyeceği tüm tedbirlerin alınması kaydıyla tahsise karar verebilir. , Bakanlık Makamından alınacak onay ile verilir.</w:t>
      </w:r>
    </w:p>
    <w:p w:rsidR="00833ED1" w:rsidRDefault="00833ED1"/>
    <w:sectPr w:rsidR="00833E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01" w:rsidRDefault="00672E01" w:rsidP="007F3DF3">
      <w:pPr>
        <w:spacing w:after="0" w:line="240" w:lineRule="auto"/>
      </w:pPr>
      <w:r>
        <w:separator/>
      </w:r>
    </w:p>
  </w:endnote>
  <w:endnote w:type="continuationSeparator" w:id="0">
    <w:p w:rsidR="00672E01" w:rsidRDefault="00672E01" w:rsidP="007F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2AFF" w:usb1="4000ACFF"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6C" w:rsidRDefault="00672E01">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6C" w:rsidRDefault="00672E0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01" w:rsidRDefault="00672E01" w:rsidP="007F3DF3">
      <w:pPr>
        <w:spacing w:after="0" w:line="240" w:lineRule="auto"/>
      </w:pPr>
      <w:r>
        <w:separator/>
      </w:r>
    </w:p>
  </w:footnote>
  <w:footnote w:type="continuationSeparator" w:id="0">
    <w:p w:rsidR="00672E01" w:rsidRDefault="00672E01" w:rsidP="007F3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6C" w:rsidRPr="00D95F2D" w:rsidRDefault="00672E01" w:rsidP="00D95F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500E"/>
    <w:multiLevelType w:val="multilevel"/>
    <w:tmpl w:val="D5049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CB0B67"/>
    <w:multiLevelType w:val="multilevel"/>
    <w:tmpl w:val="01DC94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707899"/>
    <w:multiLevelType w:val="multilevel"/>
    <w:tmpl w:val="AFA02CC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E140C1"/>
    <w:multiLevelType w:val="multilevel"/>
    <w:tmpl w:val="C8CE088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85637"/>
    <w:multiLevelType w:val="multilevel"/>
    <w:tmpl w:val="67AA5B9A"/>
    <w:lvl w:ilvl="0">
      <w:start w:val="6"/>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486D7B"/>
    <w:multiLevelType w:val="hybridMultilevel"/>
    <w:tmpl w:val="1960C878"/>
    <w:lvl w:ilvl="0" w:tplc="5EB6CB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DD2D4F"/>
    <w:multiLevelType w:val="multilevel"/>
    <w:tmpl w:val="E5A81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E5186"/>
    <w:multiLevelType w:val="multilevel"/>
    <w:tmpl w:val="942A7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7"/>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F3"/>
    <w:rsid w:val="00672E01"/>
    <w:rsid w:val="007F3DF3"/>
    <w:rsid w:val="00833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87CB2"/>
  <w15:chartTrackingRefBased/>
  <w15:docId w15:val="{6DA00A0C-DE42-49C9-B400-4CCFA7D7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DF3"/>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F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3DF3"/>
    <w:pPr>
      <w:ind w:left="720"/>
      <w:contextualSpacing/>
    </w:pPr>
  </w:style>
  <w:style w:type="character" w:customStyle="1" w:styleId="Headerorfooter2">
    <w:name w:val="Header or footer (2)_"/>
    <w:basedOn w:val="VarsaylanParagrafYazTipi"/>
    <w:link w:val="Headerorfooter20"/>
    <w:rsid w:val="007F3DF3"/>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7F3DF3"/>
    <w:rPr>
      <w:rFonts w:ascii="Times New Roman" w:eastAsia="Times New Roman" w:hAnsi="Times New Roman" w:cs="Times New Roman"/>
    </w:rPr>
  </w:style>
  <w:style w:type="character" w:customStyle="1" w:styleId="Other">
    <w:name w:val="Other_"/>
    <w:basedOn w:val="VarsaylanParagrafYazTipi"/>
    <w:link w:val="Other0"/>
    <w:rsid w:val="007F3DF3"/>
    <w:rPr>
      <w:rFonts w:ascii="Times New Roman" w:eastAsia="Times New Roman" w:hAnsi="Times New Roman" w:cs="Times New Roman"/>
    </w:rPr>
  </w:style>
  <w:style w:type="character" w:customStyle="1" w:styleId="Tablecaption">
    <w:name w:val="Table caption_"/>
    <w:basedOn w:val="VarsaylanParagrafYazTipi"/>
    <w:link w:val="Tablecaption0"/>
    <w:rsid w:val="007F3DF3"/>
    <w:rPr>
      <w:rFonts w:ascii="Times New Roman" w:eastAsia="Times New Roman" w:hAnsi="Times New Roman" w:cs="Times New Roman"/>
    </w:rPr>
  </w:style>
  <w:style w:type="paragraph" w:customStyle="1" w:styleId="Headerorfooter20">
    <w:name w:val="Header or footer (2)"/>
    <w:basedOn w:val="Normal"/>
    <w:link w:val="Headerorfooter2"/>
    <w:rsid w:val="007F3DF3"/>
    <w:pPr>
      <w:widowControl w:val="0"/>
      <w:spacing w:after="0" w:line="240" w:lineRule="auto"/>
    </w:pPr>
    <w:rPr>
      <w:rFonts w:ascii="Times New Roman" w:eastAsia="Times New Roman" w:hAnsi="Times New Roman" w:cs="Times New Roman"/>
      <w:sz w:val="20"/>
      <w:szCs w:val="20"/>
    </w:rPr>
  </w:style>
  <w:style w:type="paragraph" w:styleId="GvdeMetni">
    <w:name w:val="Body Text"/>
    <w:basedOn w:val="Normal"/>
    <w:link w:val="GvdeMetniChar"/>
    <w:qFormat/>
    <w:rsid w:val="007F3DF3"/>
    <w:pPr>
      <w:widowControl w:val="0"/>
      <w:spacing w:after="0" w:line="240" w:lineRule="auto"/>
    </w:pPr>
    <w:rPr>
      <w:rFonts w:ascii="Times New Roman" w:eastAsia="Times New Roman" w:hAnsi="Times New Roman" w:cs="Times New Roman"/>
    </w:rPr>
  </w:style>
  <w:style w:type="character" w:customStyle="1" w:styleId="GvdeMetniChar1">
    <w:name w:val="Gövde Metni Char1"/>
    <w:basedOn w:val="VarsaylanParagrafYazTipi"/>
    <w:uiPriority w:val="99"/>
    <w:semiHidden/>
    <w:rsid w:val="007F3DF3"/>
    <w:rPr>
      <w:rFonts w:ascii="Calibri" w:eastAsia="Calibri" w:hAnsi="Calibri" w:cs="Calibri"/>
    </w:rPr>
  </w:style>
  <w:style w:type="paragraph" w:customStyle="1" w:styleId="Other0">
    <w:name w:val="Other"/>
    <w:basedOn w:val="Normal"/>
    <w:link w:val="Other"/>
    <w:rsid w:val="007F3DF3"/>
    <w:pPr>
      <w:widowControl w:val="0"/>
      <w:spacing w:after="0" w:line="240" w:lineRule="auto"/>
    </w:pPr>
    <w:rPr>
      <w:rFonts w:ascii="Times New Roman" w:eastAsia="Times New Roman" w:hAnsi="Times New Roman" w:cs="Times New Roman"/>
    </w:rPr>
  </w:style>
  <w:style w:type="paragraph" w:customStyle="1" w:styleId="Tablecaption0">
    <w:name w:val="Table caption"/>
    <w:basedOn w:val="Normal"/>
    <w:link w:val="Tablecaption"/>
    <w:rsid w:val="007F3DF3"/>
    <w:pPr>
      <w:widowControl w:val="0"/>
      <w:spacing w:after="0" w:line="240" w:lineRule="auto"/>
      <w:ind w:left="280" w:hanging="140"/>
    </w:pPr>
    <w:rPr>
      <w:rFonts w:ascii="Times New Roman" w:eastAsia="Times New Roman" w:hAnsi="Times New Roman" w:cs="Times New Roman"/>
    </w:rPr>
  </w:style>
  <w:style w:type="paragraph" w:styleId="stBilgi">
    <w:name w:val="header"/>
    <w:basedOn w:val="Normal"/>
    <w:link w:val="stBilgiChar"/>
    <w:uiPriority w:val="99"/>
    <w:unhideWhenUsed/>
    <w:rsid w:val="007F3DF3"/>
    <w:pPr>
      <w:widowControl w:val="0"/>
      <w:tabs>
        <w:tab w:val="center" w:pos="4536"/>
        <w:tab w:val="right" w:pos="9072"/>
      </w:tabs>
      <w:spacing w:after="0" w:line="240" w:lineRule="auto"/>
    </w:pPr>
    <w:rPr>
      <w:rFonts w:ascii="Microsoft Sans Serif" w:eastAsia="Microsoft Sans Serif" w:hAnsi="Microsoft Sans Serif" w:cs="Microsoft Sans Serif"/>
      <w:color w:val="000000"/>
      <w:sz w:val="24"/>
      <w:szCs w:val="24"/>
      <w:lang w:eastAsia="tr-TR"/>
    </w:rPr>
  </w:style>
  <w:style w:type="character" w:customStyle="1" w:styleId="stBilgiChar">
    <w:name w:val="Üst Bilgi Char"/>
    <w:basedOn w:val="VarsaylanParagrafYazTipi"/>
    <w:link w:val="stBilgi"/>
    <w:uiPriority w:val="99"/>
    <w:rsid w:val="007F3DF3"/>
    <w:rPr>
      <w:rFonts w:ascii="Microsoft Sans Serif" w:eastAsia="Microsoft Sans Serif" w:hAnsi="Microsoft Sans Serif" w:cs="Microsoft Sans Serif"/>
      <w:color w:val="000000"/>
      <w:sz w:val="24"/>
      <w:szCs w:val="24"/>
      <w:lang w:eastAsia="tr-TR"/>
    </w:rPr>
  </w:style>
  <w:style w:type="paragraph" w:styleId="AltBilgi">
    <w:name w:val="footer"/>
    <w:basedOn w:val="Normal"/>
    <w:link w:val="AltBilgiChar"/>
    <w:uiPriority w:val="99"/>
    <w:unhideWhenUsed/>
    <w:rsid w:val="007F3D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D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1454</Words>
  <Characters>8293</Characters>
  <Application>Microsoft Office Word</Application>
  <DocSecurity>0</DocSecurity>
  <Lines>69</Lines>
  <Paragraphs>19</Paragraphs>
  <ScaleCrop>false</ScaleCrop>
  <Company>NouS/TncTR</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cp:lastModifiedBy>
  <cp:revision>1</cp:revision>
  <dcterms:created xsi:type="dcterms:W3CDTF">2025-10-31T07:54:00Z</dcterms:created>
  <dcterms:modified xsi:type="dcterms:W3CDTF">2025-10-31T07:56:00Z</dcterms:modified>
</cp:coreProperties>
</file>